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B78" w14:textId="4CC7EA53" w:rsidR="00011774" w:rsidRDefault="00273939">
      <w:pPr>
        <w:pStyle w:val="BodyA"/>
        <w:shd w:val="clear" w:color="auto" w:fill="FFFFFF"/>
        <w:spacing w:after="0" w:line="240" w:lineRule="auto"/>
        <w:rPr>
          <w:color w:val="222222"/>
          <w:sz w:val="24"/>
          <w:szCs w:val="24"/>
          <w:u w:color="222222"/>
          <w:shd w:val="clear" w:color="auto" w:fill="FFFFFF"/>
        </w:rPr>
      </w:pPr>
      <w:r>
        <w:rPr>
          <w:b/>
          <w:bCs/>
          <w:color w:val="222222"/>
          <w:sz w:val="24"/>
          <w:szCs w:val="24"/>
          <w:u w:color="222222"/>
          <w:shd w:val="clear" w:color="auto" w:fill="FFFFFF"/>
        </w:rPr>
        <w:t>Municipalism</w:t>
      </w:r>
      <w:r>
        <w:rPr>
          <w:b/>
          <w:bCs/>
          <w:color w:val="222222"/>
          <w:sz w:val="24"/>
          <w:szCs w:val="24"/>
          <w:u w:color="222222"/>
          <w:shd w:val="clear" w:color="auto" w:fill="FFFFFF"/>
        </w:rPr>
        <w:t>’</w:t>
      </w:r>
      <w:r>
        <w:rPr>
          <w:b/>
          <w:bCs/>
          <w:color w:val="222222"/>
          <w:sz w:val="24"/>
          <w:szCs w:val="24"/>
          <w:u w:color="222222"/>
          <w:shd w:val="clear" w:color="auto" w:fill="FFFFFF"/>
          <w:lang w:val="en-US"/>
        </w:rPr>
        <w:t>s Escape from the Colonizing Imperatives of Empire in the U.S.</w:t>
      </w:r>
    </w:p>
    <w:p w14:paraId="7FEB63D4" w14:textId="77777777" w:rsidR="00011774" w:rsidRDefault="00011774">
      <w:pPr>
        <w:pStyle w:val="BodyA"/>
        <w:shd w:val="clear" w:color="auto" w:fill="FFFFFF"/>
        <w:spacing w:after="0" w:line="240" w:lineRule="auto"/>
        <w:rPr>
          <w:color w:val="222222"/>
          <w:sz w:val="24"/>
          <w:szCs w:val="24"/>
          <w:u w:color="222222"/>
          <w:shd w:val="clear" w:color="auto" w:fill="FFFFFF"/>
        </w:rPr>
      </w:pPr>
    </w:p>
    <w:p w14:paraId="0461C909" w14:textId="77777777" w:rsidR="00011774" w:rsidRDefault="00273939">
      <w:pPr>
        <w:pStyle w:val="BodyA"/>
        <w:shd w:val="clear" w:color="auto" w:fill="FFFFFF"/>
        <w:spacing w:after="0" w:line="240" w:lineRule="auto"/>
        <w:rPr>
          <w:color w:val="222222"/>
          <w:sz w:val="24"/>
          <w:szCs w:val="24"/>
          <w:u w:color="222222"/>
          <w:shd w:val="clear" w:color="auto" w:fill="FFFFFF"/>
        </w:rPr>
      </w:pPr>
      <w:r>
        <w:rPr>
          <w:b/>
          <w:bCs/>
          <w:i/>
          <w:iCs/>
          <w:color w:val="222222"/>
          <w:sz w:val="24"/>
          <w:szCs w:val="24"/>
          <w:u w:color="222222"/>
          <w:shd w:val="clear" w:color="auto" w:fill="FFFFFF"/>
          <w:lang w:val="en-US"/>
        </w:rPr>
        <w:t>Submitted for the TRISE 2021 Conference, Libertarian Municipalism, Session 1, by Ben G. Price &amp; Simon Davis-Cohen</w:t>
      </w:r>
    </w:p>
    <w:p w14:paraId="366A0C0D" w14:textId="77777777" w:rsidR="00011774" w:rsidRDefault="00273939">
      <w:pPr>
        <w:pStyle w:val="BodyA"/>
        <w:shd w:val="clear" w:color="auto" w:fill="FFFFFF"/>
        <w:spacing w:after="0" w:line="240" w:lineRule="auto"/>
        <w:rPr>
          <w:color w:val="222222"/>
          <w:sz w:val="24"/>
          <w:szCs w:val="24"/>
          <w:u w:color="222222"/>
          <w:shd w:val="clear" w:color="auto" w:fill="FFFFFF"/>
        </w:rPr>
      </w:pPr>
      <w:r>
        <w:rPr>
          <w:rFonts w:hAnsi="Trebuchet MS"/>
          <w:color w:val="222222"/>
          <w:sz w:val="24"/>
          <w:szCs w:val="24"/>
          <w:u w:color="222222"/>
          <w:shd w:val="clear" w:color="auto" w:fill="FFFFFF"/>
          <w:lang w:val="en-US"/>
        </w:rPr>
        <w:t> </w:t>
      </w:r>
    </w:p>
    <w:p w14:paraId="1D5D27E4" w14:textId="77777777" w:rsidR="00011774" w:rsidRDefault="00273939">
      <w:pPr>
        <w:pStyle w:val="BodyA"/>
        <w:shd w:val="clear" w:color="auto" w:fill="FFFFFF"/>
        <w:spacing w:after="0" w:line="240" w:lineRule="auto"/>
        <w:rPr>
          <w:color w:val="222222"/>
          <w:sz w:val="24"/>
          <w:szCs w:val="24"/>
          <w:u w:color="222222"/>
          <w:shd w:val="clear" w:color="auto" w:fill="FFFFFF"/>
        </w:rPr>
      </w:pPr>
      <w:r>
        <w:rPr>
          <w:b/>
          <w:bCs/>
          <w:color w:val="222222"/>
          <w:sz w:val="24"/>
          <w:szCs w:val="24"/>
          <w:u w:color="222222"/>
          <w:shd w:val="clear" w:color="auto" w:fill="FFFFFF"/>
        </w:rPr>
        <w:t>ABSTRACT</w:t>
      </w:r>
    </w:p>
    <w:p w14:paraId="19D00F27" w14:textId="2C7551C3" w:rsidR="00011774" w:rsidRDefault="00273939">
      <w:pPr>
        <w:pStyle w:val="BodyA"/>
        <w:shd w:val="clear" w:color="auto" w:fill="FFFFFF"/>
        <w:spacing w:after="0" w:line="240" w:lineRule="auto"/>
        <w:rPr>
          <w:color w:val="222222"/>
          <w:sz w:val="24"/>
          <w:szCs w:val="24"/>
          <w:u w:color="222222"/>
          <w:shd w:val="clear" w:color="auto" w:fill="FFFFFF"/>
        </w:rPr>
      </w:pPr>
      <w:r>
        <w:rPr>
          <w:rFonts w:ascii="Trebuchet MS"/>
          <w:color w:val="222222"/>
          <w:sz w:val="24"/>
          <w:szCs w:val="24"/>
          <w:u w:color="222222"/>
          <w:shd w:val="clear" w:color="auto" w:fill="FFFFFF"/>
          <w:lang w:val="en-US"/>
        </w:rPr>
        <w:t>Efforts to expand municipal activism in the U.S. are fettered by a constitutional framework at the national level that ignores the role of local, community governance, and by state constitutions that methodically elevate administrative state law above loca</w:t>
      </w:r>
      <w:r>
        <w:rPr>
          <w:rFonts w:ascii="Trebuchet MS"/>
          <w:color w:val="222222"/>
          <w:sz w:val="24"/>
          <w:szCs w:val="24"/>
          <w:u w:color="222222"/>
          <w:shd w:val="clear" w:color="auto" w:fill="FFFFFF"/>
          <w:lang w:val="en-US"/>
        </w:rPr>
        <w:t xml:space="preserve">l governance and the protection of basic rights. But revolutionary municipal organizing by CELDF, for nearly two decades, has challenged legal dogmas like </w:t>
      </w:r>
      <w:r>
        <w:rPr>
          <w:rFonts w:ascii="Trebuchet MS"/>
          <w:i/>
          <w:iCs/>
          <w:color w:val="222222"/>
          <w:sz w:val="24"/>
          <w:szCs w:val="24"/>
          <w:u w:color="222222"/>
          <w:shd w:val="clear" w:color="auto" w:fill="FFFFFF"/>
          <w:lang w:val="en-US"/>
        </w:rPr>
        <w:t>Dillon</w:t>
      </w:r>
      <w:r>
        <w:rPr>
          <w:rFonts w:hAnsi="Trebuchet MS"/>
          <w:i/>
          <w:iCs/>
          <w:color w:val="222222"/>
          <w:sz w:val="24"/>
          <w:szCs w:val="24"/>
          <w:u w:color="222222"/>
          <w:shd w:val="clear" w:color="auto" w:fill="FFFFFF"/>
          <w:lang w:val="en-US"/>
        </w:rPr>
        <w:t>’</w:t>
      </w:r>
      <w:r>
        <w:rPr>
          <w:rFonts w:ascii="Trebuchet MS"/>
          <w:i/>
          <w:iCs/>
          <w:color w:val="222222"/>
          <w:sz w:val="24"/>
          <w:szCs w:val="24"/>
          <w:u w:color="222222"/>
          <w:shd w:val="clear" w:color="auto" w:fill="FFFFFF"/>
          <w:lang w:val="en-US"/>
        </w:rPr>
        <w:t>s Rule</w:t>
      </w:r>
      <w:r>
        <w:rPr>
          <w:rFonts w:ascii="Trebuchet MS"/>
          <w:color w:val="222222"/>
          <w:sz w:val="24"/>
          <w:szCs w:val="24"/>
          <w:u w:color="222222"/>
          <w:shd w:val="clear" w:color="auto" w:fill="FFFFFF"/>
          <w:lang w:val="en-US"/>
        </w:rPr>
        <w:t>, which subordinates local institutions utterly to the authority of the state, and the l</w:t>
      </w:r>
      <w:r>
        <w:rPr>
          <w:rFonts w:ascii="Trebuchet MS"/>
          <w:color w:val="222222"/>
          <w:sz w:val="24"/>
          <w:szCs w:val="24"/>
          <w:u w:color="222222"/>
          <w:shd w:val="clear" w:color="auto" w:fill="FFFFFF"/>
          <w:lang w:val="en-US"/>
        </w:rPr>
        <w:t xml:space="preserve">egal fiction of corporate </w:t>
      </w:r>
      <w:r>
        <w:rPr>
          <w:rFonts w:hAnsi="Trebuchet MS"/>
          <w:color w:val="222222"/>
          <w:sz w:val="24"/>
          <w:szCs w:val="24"/>
          <w:u w:color="222222"/>
          <w:shd w:val="clear" w:color="auto" w:fill="FFFFFF"/>
          <w:lang w:val="en-US"/>
        </w:rPr>
        <w:t>“</w:t>
      </w:r>
      <w:r>
        <w:rPr>
          <w:rFonts w:ascii="Trebuchet MS"/>
          <w:color w:val="222222"/>
          <w:sz w:val="24"/>
          <w:szCs w:val="24"/>
          <w:u w:color="222222"/>
          <w:shd w:val="clear" w:color="auto" w:fill="FFFFFF"/>
          <w:lang w:val="nl-NL"/>
        </w:rPr>
        <w:t>personhood.</w:t>
      </w:r>
      <w:r>
        <w:rPr>
          <w:rFonts w:hAnsi="Trebuchet MS"/>
          <w:color w:val="222222"/>
          <w:sz w:val="24"/>
          <w:szCs w:val="24"/>
          <w:u w:color="222222"/>
          <w:shd w:val="clear" w:color="auto" w:fill="FFFFFF"/>
          <w:lang w:val="en-US"/>
        </w:rPr>
        <w:t>”</w:t>
      </w:r>
      <w:r>
        <w:rPr>
          <w:rFonts w:hAnsi="Trebuchet MS"/>
          <w:color w:val="222222"/>
          <w:sz w:val="24"/>
          <w:szCs w:val="24"/>
          <w:u w:color="222222"/>
          <w:shd w:val="clear" w:color="auto" w:fill="FFFFFF"/>
          <w:lang w:val="en-US"/>
        </w:rPr>
        <w:t xml:space="preserve"> </w:t>
      </w:r>
      <w:r>
        <w:rPr>
          <w:rFonts w:ascii="Trebuchet MS"/>
          <w:color w:val="222222"/>
          <w:sz w:val="24"/>
          <w:szCs w:val="24"/>
          <w:u w:color="222222"/>
          <w:shd w:val="clear" w:color="auto" w:fill="FFFFFF"/>
          <w:lang w:val="en-US"/>
        </w:rPr>
        <w:t>By drafting and enacting community bills of rights that recognize peoples</w:t>
      </w:r>
      <w:r>
        <w:rPr>
          <w:rFonts w:hAnsi="Trebuchet MS"/>
          <w:color w:val="222222"/>
          <w:sz w:val="24"/>
          <w:szCs w:val="24"/>
          <w:u w:color="222222"/>
          <w:shd w:val="clear" w:color="auto" w:fill="FFFFFF"/>
          <w:lang w:val="en-US"/>
        </w:rPr>
        <w:t>’</w:t>
      </w:r>
      <w:r>
        <w:rPr>
          <w:rFonts w:ascii="Trebuchet MS"/>
          <w:color w:val="222222"/>
          <w:sz w:val="24"/>
          <w:szCs w:val="24"/>
          <w:u w:color="222222"/>
          <w:shd w:val="clear" w:color="auto" w:fill="FFFFFF"/>
          <w:lang w:val="en-US"/>
        </w:rPr>
        <w:t xml:space="preserve"> right of local community self-government </w:t>
      </w:r>
      <w:r>
        <w:rPr>
          <w:rFonts w:hAnsi="Trebuchet MS"/>
          <w:color w:val="222222"/>
          <w:sz w:val="24"/>
          <w:szCs w:val="24"/>
          <w:u w:color="222222"/>
          <w:shd w:val="clear" w:color="auto" w:fill="FFFFFF"/>
          <w:lang w:val="en-US"/>
        </w:rPr>
        <w:t>—</w:t>
      </w:r>
      <w:r>
        <w:rPr>
          <w:rFonts w:ascii="Trebuchet MS"/>
          <w:color w:val="222222"/>
          <w:sz w:val="24"/>
          <w:szCs w:val="24"/>
          <w:u w:color="222222"/>
          <w:shd w:val="clear" w:color="auto" w:fill="FFFFFF"/>
          <w:lang w:val="en-US"/>
        </w:rPr>
        <w:t xml:space="preserve"> </w:t>
      </w:r>
      <w:r>
        <w:rPr>
          <w:rFonts w:ascii="Trebuchet MS"/>
          <w:color w:val="222222"/>
          <w:sz w:val="24"/>
          <w:szCs w:val="24"/>
          <w:u w:color="222222"/>
          <w:shd w:val="clear" w:color="auto" w:fill="FFFFFF"/>
          <w:lang w:val="en-US"/>
        </w:rPr>
        <w:t xml:space="preserve">and </w:t>
      </w:r>
      <w:r>
        <w:rPr>
          <w:rFonts w:ascii="Trebuchet MS"/>
          <w:color w:val="222222"/>
          <w:sz w:val="24"/>
          <w:szCs w:val="24"/>
          <w:u w:color="222222"/>
          <w:shd w:val="clear" w:color="auto" w:fill="FFFFFF"/>
          <w:lang w:val="en-US"/>
        </w:rPr>
        <w:t xml:space="preserve">to </w:t>
      </w:r>
      <w:r>
        <w:rPr>
          <w:rFonts w:ascii="Trebuchet MS"/>
          <w:color w:val="222222"/>
          <w:sz w:val="24"/>
          <w:szCs w:val="24"/>
          <w:u w:color="222222"/>
          <w:shd w:val="clear" w:color="auto" w:fill="FFFFFF"/>
          <w:lang w:val="en-US"/>
        </w:rPr>
        <w:t>reject the legal status of municipalities as mere tools of convenience for the state</w:t>
      </w:r>
      <w:r>
        <w:rPr>
          <w:rFonts w:hAnsi="Trebuchet MS"/>
          <w:color w:val="222222"/>
          <w:sz w:val="24"/>
          <w:szCs w:val="24"/>
          <w:u w:color="222222"/>
          <w:shd w:val="clear" w:color="auto" w:fill="FFFFFF"/>
          <w:lang w:val="en-US"/>
        </w:rPr>
        <w:t>’</w:t>
      </w:r>
      <w:r>
        <w:rPr>
          <w:rFonts w:ascii="Trebuchet MS"/>
          <w:color w:val="222222"/>
          <w:sz w:val="24"/>
          <w:szCs w:val="24"/>
          <w:u w:color="222222"/>
          <w:shd w:val="clear" w:color="auto" w:fill="FFFFFF"/>
          <w:lang w:val="en-US"/>
        </w:rPr>
        <w:t xml:space="preserve">s exercise of power at the local level </w:t>
      </w:r>
      <w:r>
        <w:rPr>
          <w:rFonts w:hAnsi="Trebuchet MS"/>
          <w:color w:val="222222"/>
          <w:sz w:val="24"/>
          <w:szCs w:val="24"/>
          <w:u w:color="222222"/>
          <w:shd w:val="clear" w:color="auto" w:fill="FFFFFF"/>
          <w:lang w:val="en-US"/>
        </w:rPr>
        <w:t>—</w:t>
      </w:r>
      <w:r>
        <w:rPr>
          <w:rFonts w:ascii="Trebuchet MS"/>
          <w:color w:val="222222"/>
          <w:sz w:val="24"/>
          <w:szCs w:val="24"/>
          <w:u w:color="222222"/>
          <w:shd w:val="clear" w:color="auto" w:fill="FFFFFF"/>
          <w:lang w:val="en-US"/>
        </w:rPr>
        <w:t xml:space="preserve"> activist organizers have assisted communities to se</w:t>
      </w:r>
      <w:r>
        <w:rPr>
          <w:rFonts w:ascii="Trebuchet MS"/>
          <w:color w:val="222222"/>
          <w:sz w:val="24"/>
          <w:szCs w:val="24"/>
          <w:u w:color="222222"/>
          <w:shd w:val="clear" w:color="auto" w:fill="FFFFFF"/>
          <w:lang w:val="en-US"/>
        </w:rPr>
        <w:t>parate municipal jurisdictions from hegemonic control. The authors suggest that future research into such strategies for expanding the principles of social ecology in the U.S. will find CELDF</w:t>
      </w:r>
      <w:r>
        <w:rPr>
          <w:rFonts w:hAnsi="Trebuchet MS"/>
          <w:color w:val="222222"/>
          <w:sz w:val="24"/>
          <w:szCs w:val="24"/>
          <w:u w:color="222222"/>
          <w:shd w:val="clear" w:color="auto" w:fill="FFFFFF"/>
          <w:lang w:val="en-US"/>
        </w:rPr>
        <w:t>’</w:t>
      </w:r>
      <w:r>
        <w:rPr>
          <w:rFonts w:ascii="Trebuchet MS"/>
          <w:color w:val="222222"/>
          <w:sz w:val="24"/>
          <w:szCs w:val="24"/>
          <w:u w:color="222222"/>
          <w:shd w:val="clear" w:color="auto" w:fill="FFFFFF"/>
          <w:lang w:val="en-US"/>
        </w:rPr>
        <w:t xml:space="preserve">s lessons learned and perspectives </w:t>
      </w:r>
      <w:r>
        <w:rPr>
          <w:rFonts w:ascii="Trebuchet MS"/>
          <w:color w:val="222222"/>
          <w:sz w:val="24"/>
          <w:szCs w:val="24"/>
          <w:u w:color="222222"/>
          <w:shd w:val="clear" w:color="auto" w:fill="FFFFFF"/>
          <w:lang w:val="en-US"/>
        </w:rPr>
        <w:t>of interest</w:t>
      </w:r>
      <w:r>
        <w:rPr>
          <w:rFonts w:ascii="Trebuchet MS"/>
          <w:color w:val="222222"/>
          <w:sz w:val="24"/>
          <w:szCs w:val="24"/>
          <w:u w:color="222222"/>
          <w:shd w:val="clear" w:color="auto" w:fill="FFFFFF"/>
          <w:lang w:val="en-US"/>
        </w:rPr>
        <w:t>, and t</w:t>
      </w:r>
      <w:r>
        <w:rPr>
          <w:rFonts w:ascii="Trebuchet MS"/>
          <w:color w:val="222222"/>
          <w:sz w:val="24"/>
          <w:szCs w:val="24"/>
          <w:u w:color="222222"/>
          <w:shd w:val="clear" w:color="auto" w:fill="FFFFFF"/>
          <w:lang w:val="en-US"/>
        </w:rPr>
        <w:t>hat there exists a natural alignment between CELDF</w:t>
      </w:r>
      <w:r>
        <w:rPr>
          <w:rFonts w:hAnsi="Trebuchet MS"/>
          <w:color w:val="222222"/>
          <w:sz w:val="24"/>
          <w:szCs w:val="24"/>
          <w:u w:color="222222"/>
          <w:shd w:val="clear" w:color="auto" w:fill="FFFFFF"/>
          <w:lang w:val="en-US"/>
        </w:rPr>
        <w:t>’</w:t>
      </w:r>
      <w:r>
        <w:rPr>
          <w:rFonts w:ascii="Trebuchet MS"/>
          <w:color w:val="222222"/>
          <w:sz w:val="24"/>
          <w:szCs w:val="24"/>
          <w:u w:color="222222"/>
          <w:shd w:val="clear" w:color="auto" w:fill="FFFFFF"/>
          <w:lang w:val="en-US"/>
        </w:rPr>
        <w:t>s organizing efforts and TRISE</w:t>
      </w:r>
      <w:r>
        <w:rPr>
          <w:rFonts w:hAnsi="Trebuchet MS"/>
          <w:color w:val="222222"/>
          <w:sz w:val="24"/>
          <w:szCs w:val="24"/>
          <w:u w:color="222222"/>
          <w:shd w:val="clear" w:color="auto" w:fill="FFFFFF"/>
          <w:lang w:val="en-US"/>
        </w:rPr>
        <w:t>’</w:t>
      </w:r>
      <w:r>
        <w:rPr>
          <w:rFonts w:ascii="Trebuchet MS"/>
          <w:color w:val="222222"/>
          <w:sz w:val="24"/>
          <w:szCs w:val="24"/>
          <w:u w:color="222222"/>
          <w:shd w:val="clear" w:color="auto" w:fill="FFFFFF"/>
          <w:lang w:val="en-US"/>
        </w:rPr>
        <w:t xml:space="preserve">s international network with front-line communities implementing the vision set out by Murray Bookchin. Using local law-making to engage in democratic, peaceful </w:t>
      </w:r>
      <w:r>
        <w:rPr>
          <w:rFonts w:ascii="Trebuchet MS"/>
          <w:color w:val="222222"/>
          <w:sz w:val="24"/>
          <w:szCs w:val="24"/>
          <w:u w:color="222222"/>
          <w:shd w:val="clear" w:color="auto" w:fill="FFFFFF"/>
          <w:lang w:val="en-US"/>
        </w:rPr>
        <w:t xml:space="preserve">collective </w:t>
      </w:r>
      <w:r>
        <w:rPr>
          <w:rFonts w:ascii="Trebuchet MS"/>
          <w:color w:val="222222"/>
          <w:sz w:val="24"/>
          <w:szCs w:val="24"/>
          <w:u w:color="222222"/>
          <w:shd w:val="clear" w:color="auto" w:fill="FFFFFF"/>
          <w:lang w:val="en-US"/>
        </w:rPr>
        <w:t xml:space="preserve">civil disobedience, residents of municipalities in the U.S., who are engaged in the CELDF-initiated </w:t>
      </w:r>
      <w:r>
        <w:rPr>
          <w:rFonts w:hAnsi="Trebuchet MS"/>
          <w:color w:val="222222"/>
          <w:sz w:val="24"/>
          <w:szCs w:val="24"/>
          <w:u w:color="222222"/>
          <w:shd w:val="clear" w:color="auto" w:fill="FFFFFF"/>
          <w:lang w:val="en-US"/>
        </w:rPr>
        <w:t>“</w:t>
      </w:r>
      <w:r>
        <w:rPr>
          <w:rFonts w:ascii="Trebuchet MS"/>
          <w:color w:val="222222"/>
          <w:sz w:val="24"/>
          <w:szCs w:val="24"/>
          <w:u w:color="222222"/>
          <w:shd w:val="clear" w:color="auto" w:fill="FFFFFF"/>
          <w:lang w:val="en-US"/>
        </w:rPr>
        <w:t>Community Rights Movement,</w:t>
      </w:r>
      <w:r>
        <w:rPr>
          <w:rFonts w:hAnsi="Trebuchet MS"/>
          <w:color w:val="222222"/>
          <w:sz w:val="24"/>
          <w:szCs w:val="24"/>
          <w:u w:color="222222"/>
          <w:shd w:val="clear" w:color="auto" w:fill="FFFFFF"/>
          <w:lang w:val="en-US"/>
        </w:rPr>
        <w:t>”</w:t>
      </w:r>
      <w:r>
        <w:rPr>
          <w:rFonts w:ascii="Trebuchet MS"/>
          <w:color w:val="222222"/>
          <w:sz w:val="24"/>
          <w:szCs w:val="24"/>
          <w:u w:color="222222"/>
          <w:shd w:val="clear" w:color="auto" w:fill="FFFFFF"/>
          <w:lang w:val="en-US"/>
        </w:rPr>
        <w:t xml:space="preserve"> go so far as to legislate the supremacy of human and civil rights over the synthetic rights attached to corporate property and,</w:t>
      </w:r>
      <w:r>
        <w:rPr>
          <w:rFonts w:ascii="Trebuchet MS"/>
          <w:color w:val="222222"/>
          <w:sz w:val="24"/>
          <w:szCs w:val="24"/>
          <w:u w:color="222222"/>
          <w:shd w:val="clear" w:color="auto" w:fill="FFFFFF"/>
          <w:lang w:val="en-US"/>
        </w:rPr>
        <w:t xml:space="preserve"> on that basis, to govern corporate behavior, whether that mean banning fossil fuel extraction</w:t>
      </w:r>
      <w:r>
        <w:rPr>
          <w:rFonts w:ascii="Trebuchet MS"/>
          <w:color w:val="222222"/>
          <w:sz w:val="24"/>
          <w:szCs w:val="24"/>
          <w:u w:color="222222"/>
          <w:shd w:val="clear" w:color="auto" w:fill="FFFFFF"/>
          <w:lang w:val="en-US"/>
        </w:rPr>
        <w:t xml:space="preserve"> and</w:t>
      </w:r>
      <w:r>
        <w:rPr>
          <w:rFonts w:ascii="Trebuchet MS"/>
          <w:color w:val="222222"/>
          <w:sz w:val="24"/>
          <w:szCs w:val="24"/>
          <w:u w:color="222222"/>
          <w:shd w:val="clear" w:color="auto" w:fill="FFFFFF"/>
          <w:lang w:val="en-US"/>
        </w:rPr>
        <w:t xml:space="preserve"> water privatization, or pursuing constitutional and worker rights in the workplace, or new enforceable civil rights </w:t>
      </w:r>
      <w:r>
        <w:rPr>
          <w:rFonts w:ascii="Trebuchet MS"/>
          <w:color w:val="222222"/>
          <w:sz w:val="24"/>
          <w:szCs w:val="24"/>
          <w:u w:color="222222"/>
          <w:shd w:val="clear" w:color="auto" w:fill="FFFFFF"/>
          <w:lang w:val="en-US"/>
        </w:rPr>
        <w:t>for</w:t>
      </w:r>
      <w:r>
        <w:rPr>
          <w:rFonts w:ascii="Trebuchet MS"/>
          <w:color w:val="222222"/>
          <w:sz w:val="24"/>
          <w:szCs w:val="24"/>
          <w:u w:color="222222"/>
          <w:shd w:val="clear" w:color="auto" w:fill="FFFFFF"/>
          <w:lang w:val="en-US"/>
        </w:rPr>
        <w:t xml:space="preserve"> the houseless </w:t>
      </w:r>
      <w:r>
        <w:rPr>
          <w:rFonts w:ascii="Trebuchet MS"/>
          <w:color w:val="222222"/>
          <w:sz w:val="24"/>
          <w:szCs w:val="24"/>
          <w:u w:color="222222"/>
          <w:shd w:val="clear" w:color="auto" w:fill="FFFFFF"/>
          <w:lang w:val="en-US"/>
        </w:rPr>
        <w:t xml:space="preserve">defensible against </w:t>
      </w:r>
      <w:r>
        <w:rPr>
          <w:rFonts w:ascii="Trebuchet MS"/>
          <w:color w:val="222222"/>
          <w:sz w:val="24"/>
          <w:szCs w:val="24"/>
          <w:u w:color="222222"/>
          <w:shd w:val="clear" w:color="auto" w:fill="FFFFFF"/>
          <w:lang w:val="en-US"/>
        </w:rPr>
        <w:t xml:space="preserve">government </w:t>
      </w:r>
      <w:r>
        <w:rPr>
          <w:rFonts w:ascii="Trebuchet MS"/>
          <w:color w:val="222222"/>
          <w:sz w:val="24"/>
          <w:szCs w:val="24"/>
          <w:u w:color="222222"/>
          <w:shd w:val="clear" w:color="auto" w:fill="FFFFFF"/>
          <w:lang w:val="en-US"/>
        </w:rPr>
        <w:t>and</w:t>
      </w:r>
      <w:r>
        <w:rPr>
          <w:rFonts w:ascii="Trebuchet MS"/>
          <w:color w:val="222222"/>
          <w:sz w:val="24"/>
          <w:szCs w:val="24"/>
          <w:u w:color="222222"/>
          <w:shd w:val="clear" w:color="auto" w:fill="FFFFFF"/>
          <w:lang w:val="en-US"/>
        </w:rPr>
        <w:t xml:space="preserve"> </w:t>
      </w:r>
      <w:r>
        <w:rPr>
          <w:rFonts w:ascii="Trebuchet MS"/>
          <w:color w:val="222222"/>
          <w:sz w:val="24"/>
          <w:szCs w:val="24"/>
          <w:u w:color="222222"/>
          <w:shd w:val="clear" w:color="auto" w:fill="FFFFFF"/>
          <w:lang w:val="en-US"/>
        </w:rPr>
        <w:t>corporate private actors. Through these law-making efforts, transformative rights, not based in property law, and where</w:t>
      </w:r>
      <w:r>
        <w:rPr>
          <w:rFonts w:ascii="Trebuchet MS"/>
          <w:color w:val="222222"/>
          <w:sz w:val="24"/>
          <w:szCs w:val="24"/>
          <w:u w:color="222222"/>
          <w:shd w:val="clear" w:color="auto" w:fill="FFFFFF"/>
          <w:lang w:val="en-US"/>
        </w:rPr>
        <w:t xml:space="preserve"> </w:t>
      </w:r>
      <w:r w:rsidR="002E34ED">
        <w:rPr>
          <w:rFonts w:ascii="Trebuchet MS"/>
          <w:color w:val="222222"/>
          <w:sz w:val="24"/>
          <w:szCs w:val="24"/>
          <w:u w:color="222222"/>
          <w:shd w:val="clear" w:color="auto" w:fill="FFFFFF"/>
          <w:lang w:val="en-US"/>
        </w:rPr>
        <w:t xml:space="preserve">legal </w:t>
      </w:r>
      <w:r>
        <w:rPr>
          <w:rFonts w:ascii="Trebuchet MS"/>
          <w:color w:val="222222"/>
          <w:sz w:val="24"/>
          <w:szCs w:val="24"/>
          <w:u w:color="222222"/>
          <w:shd w:val="clear" w:color="auto" w:fill="FFFFFF"/>
          <w:lang w:val="en-US"/>
        </w:rPr>
        <w:t>standing is not tied to property ownership, get advanced. These have included rights to water, a Right to Survive, a right to a livable wage, the right to be free from toxic trespass, the right to a climate capable of sustaining human societies, as well a</w:t>
      </w:r>
      <w:r>
        <w:rPr>
          <w:rFonts w:ascii="Trebuchet MS"/>
          <w:color w:val="222222"/>
          <w:sz w:val="24"/>
          <w:szCs w:val="24"/>
          <w:u w:color="222222"/>
          <w:shd w:val="clear" w:color="auto" w:fill="FFFFFF"/>
          <w:lang w:val="en-US"/>
        </w:rPr>
        <w:t>s the rights of local ecosystems and the Rights of Nature. Bookchin recognized that social ecology will advance the cause of social and environmental justice by activating communities on many fronts. Uniting parallel efforts can actualize social ecology</w:t>
      </w:r>
      <w:r>
        <w:rPr>
          <w:rFonts w:hAnsi="Trebuchet MS"/>
          <w:color w:val="222222"/>
          <w:sz w:val="24"/>
          <w:szCs w:val="24"/>
          <w:u w:color="222222"/>
          <w:shd w:val="clear" w:color="auto" w:fill="FFFFFF"/>
          <w:lang w:val="en-US"/>
        </w:rPr>
        <w:t>’</w:t>
      </w:r>
      <w:r>
        <w:rPr>
          <w:rFonts w:ascii="Trebuchet MS"/>
          <w:color w:val="222222"/>
          <w:sz w:val="24"/>
          <w:szCs w:val="24"/>
          <w:u w:color="222222"/>
          <w:shd w:val="clear" w:color="auto" w:fill="FFFFFF"/>
          <w:lang w:val="nl-NL"/>
        </w:rPr>
        <w:t xml:space="preserve">s </w:t>
      </w:r>
      <w:r>
        <w:rPr>
          <w:rFonts w:ascii="Trebuchet MS"/>
          <w:color w:val="222222"/>
          <w:sz w:val="24"/>
          <w:szCs w:val="24"/>
          <w:u w:color="222222"/>
          <w:shd w:val="clear" w:color="auto" w:fill="FFFFFF"/>
          <w:lang w:val="nl-NL"/>
        </w:rPr>
        <w:t>goals.</w:t>
      </w:r>
      <w:r>
        <w:rPr>
          <w:rFonts w:hAnsi="Trebuchet MS"/>
          <w:color w:val="222222"/>
          <w:sz w:val="24"/>
          <w:szCs w:val="24"/>
          <w:u w:color="222222"/>
          <w:shd w:val="clear" w:color="auto" w:fill="FFFFFF"/>
          <w:lang w:val="en-US"/>
        </w:rPr>
        <w:t> </w:t>
      </w:r>
    </w:p>
    <w:p w14:paraId="5DE1FCEB" w14:textId="77777777" w:rsidR="00011774" w:rsidRDefault="00273939">
      <w:pPr>
        <w:pStyle w:val="BodyA"/>
        <w:spacing w:after="0"/>
      </w:pPr>
      <w:r>
        <w:br w:type="page"/>
      </w:r>
    </w:p>
    <w:p w14:paraId="41B0B497" w14:textId="77777777" w:rsidR="00011774" w:rsidRDefault="00011774">
      <w:pPr>
        <w:pStyle w:val="BodyA"/>
        <w:spacing w:after="0"/>
      </w:pPr>
    </w:p>
    <w:p w14:paraId="330CC9F1" w14:textId="77777777" w:rsidR="00011774" w:rsidRDefault="00011774">
      <w:pPr>
        <w:pStyle w:val="BodyA"/>
        <w:spacing w:after="0"/>
      </w:pPr>
    </w:p>
    <w:p w14:paraId="0CABE82A" w14:textId="77777777" w:rsidR="00011774" w:rsidRDefault="00011774">
      <w:pPr>
        <w:pStyle w:val="BodyA"/>
        <w:spacing w:after="0"/>
      </w:pPr>
    </w:p>
    <w:p w14:paraId="39F63CEB" w14:textId="77777777" w:rsidR="00011774" w:rsidRDefault="00011774">
      <w:pPr>
        <w:pStyle w:val="BodyA"/>
        <w:spacing w:after="0"/>
        <w:jc w:val="center"/>
        <w:rPr>
          <w:b/>
          <w:bCs/>
          <w:sz w:val="24"/>
          <w:szCs w:val="24"/>
        </w:rPr>
      </w:pPr>
    </w:p>
    <w:p w14:paraId="368BDCE9" w14:textId="77777777" w:rsidR="00011774" w:rsidRDefault="00273939">
      <w:pPr>
        <w:pStyle w:val="BodyA"/>
        <w:spacing w:after="0"/>
        <w:jc w:val="center"/>
        <w:rPr>
          <w:b/>
          <w:bCs/>
          <w:sz w:val="24"/>
          <w:szCs w:val="24"/>
        </w:rPr>
      </w:pPr>
      <w:r>
        <w:rPr>
          <w:b/>
          <w:bCs/>
          <w:sz w:val="24"/>
          <w:szCs w:val="24"/>
        </w:rPr>
        <w:t>INTRODUCTION</w:t>
      </w:r>
    </w:p>
    <w:p w14:paraId="2EA6B2CF" w14:textId="77102345" w:rsidR="00011774" w:rsidRDefault="00273939">
      <w:pPr>
        <w:pStyle w:val="BodyA"/>
        <w:spacing w:after="0"/>
        <w:rPr>
          <w:sz w:val="24"/>
          <w:szCs w:val="24"/>
        </w:rPr>
      </w:pPr>
      <w:r>
        <w:rPr>
          <w:rFonts w:ascii="Trebuchet MS"/>
          <w:sz w:val="24"/>
          <w:szCs w:val="24"/>
          <w:lang w:val="en-US"/>
        </w:rPr>
        <w:t>In this paper, we report on Ben Price</w:t>
      </w:r>
      <w:r>
        <w:rPr>
          <w:rFonts w:hAnsi="Trebuchet MS"/>
          <w:sz w:val="24"/>
          <w:szCs w:val="24"/>
          <w:lang w:val="en-US"/>
        </w:rPr>
        <w:t>’</w:t>
      </w:r>
      <w:r>
        <w:rPr>
          <w:rFonts w:ascii="Trebuchet MS"/>
          <w:sz w:val="24"/>
          <w:szCs w:val="24"/>
          <w:lang w:val="en-US"/>
        </w:rPr>
        <w:t>s (author) efforts and those by our colleagues at the Community Environmental Legal Defense Fund (CELDF) in the United States of America to advance and implement local community self-governme</w:t>
      </w:r>
      <w:r>
        <w:rPr>
          <w:rFonts w:ascii="Trebuchet MS"/>
          <w:sz w:val="24"/>
          <w:szCs w:val="24"/>
          <w:lang w:val="en-US"/>
        </w:rPr>
        <w:t>nt</w:t>
      </w:r>
      <w:r>
        <w:rPr>
          <w:rFonts w:ascii="Trebuchet MS"/>
          <w:sz w:val="24"/>
          <w:szCs w:val="24"/>
          <w:lang w:val="en-US"/>
        </w:rPr>
        <w:t xml:space="preserve"> to fight back against corporate hegemony</w:t>
      </w:r>
      <w:r>
        <w:rPr>
          <w:rFonts w:ascii="Trebuchet MS"/>
          <w:sz w:val="24"/>
          <w:szCs w:val="24"/>
          <w:lang w:val="en-US"/>
        </w:rPr>
        <w:t xml:space="preserve">. </w:t>
      </w:r>
      <w:r>
        <w:rPr>
          <w:rFonts w:ascii="Trebuchet MS"/>
          <w:sz w:val="24"/>
          <w:szCs w:val="24"/>
          <w:lang w:val="en-US"/>
        </w:rPr>
        <w:t>In Ben</w:t>
      </w:r>
      <w:r>
        <w:rPr>
          <w:rFonts w:hAnsi="Trebuchet MS"/>
          <w:sz w:val="24"/>
          <w:szCs w:val="24"/>
          <w:lang w:val="en-US"/>
        </w:rPr>
        <w:t>’</w:t>
      </w:r>
      <w:r>
        <w:rPr>
          <w:rFonts w:ascii="Trebuchet MS"/>
          <w:sz w:val="24"/>
          <w:szCs w:val="24"/>
          <w:lang w:val="en-US"/>
        </w:rPr>
        <w:t xml:space="preserve">s recent book </w:t>
      </w:r>
      <w:r>
        <w:rPr>
          <w:i/>
          <w:iCs/>
          <w:sz w:val="24"/>
          <w:szCs w:val="24"/>
          <w:lang w:val="en-US"/>
        </w:rPr>
        <w:t>How Wealth Rules the World: Saving Our Communities and Freedoms from the Dictatorship of Property</w:t>
      </w:r>
      <w:r>
        <w:rPr>
          <w:rFonts w:ascii="Trebuchet MS"/>
          <w:sz w:val="24"/>
          <w:szCs w:val="24"/>
        </w:rPr>
        <w:t>,</w:t>
      </w:r>
      <w:r>
        <w:rPr>
          <w:rFonts w:ascii="Times New Roman" w:eastAsia="Times New Roman" w:hAnsi="Times New Roman" w:cs="Times New Roman"/>
          <w:sz w:val="24"/>
          <w:szCs w:val="24"/>
          <w:vertAlign w:val="superscript"/>
        </w:rPr>
        <w:footnoteReference w:id="2"/>
      </w:r>
      <w:r>
        <w:rPr>
          <w:rFonts w:ascii="Trebuchet MS"/>
          <w:sz w:val="24"/>
          <w:szCs w:val="24"/>
          <w:lang w:val="en-US"/>
        </w:rPr>
        <w:t xml:space="preserve"> he focused on deconstructing the role of property law and the anti-democratic systems of U.S. federal and state governments. It exposed the intricate web of deceit woven to appease voters while utterly denying local community self-government to any but th</w:t>
      </w:r>
      <w:r>
        <w:rPr>
          <w:rFonts w:ascii="Trebuchet MS"/>
          <w:sz w:val="24"/>
          <w:szCs w:val="24"/>
          <w:lang w:val="en-US"/>
        </w:rPr>
        <w:t xml:space="preserve">e well-heeled. Official gaslighting and cultural myth-making have sustained the ruse of </w:t>
      </w:r>
      <w:r>
        <w:rPr>
          <w:i/>
          <w:iCs/>
          <w:sz w:val="24"/>
          <w:szCs w:val="24"/>
          <w:lang w:val="en-US"/>
        </w:rPr>
        <w:t>government by the people</w:t>
      </w:r>
      <w:r>
        <w:rPr>
          <w:rFonts w:ascii="Trebuchet MS"/>
          <w:sz w:val="24"/>
          <w:szCs w:val="24"/>
          <w:lang w:val="da-DK"/>
        </w:rPr>
        <w:t xml:space="preserve">. </w:t>
      </w:r>
      <w:r>
        <w:rPr>
          <w:rFonts w:ascii="Trebuchet MS"/>
          <w:sz w:val="24"/>
          <w:szCs w:val="24"/>
          <w:lang w:val="en-US"/>
        </w:rPr>
        <w:t>However, a growing</w:t>
      </w:r>
      <w:r>
        <w:rPr>
          <w:rFonts w:ascii="Times New Roman" w:eastAsia="Times New Roman" w:hAnsi="Times New Roman" w:cs="Times New Roman"/>
          <w:sz w:val="24"/>
          <w:szCs w:val="24"/>
          <w:vertAlign w:val="superscript"/>
          <w:lang w:val="en-US"/>
        </w:rPr>
        <w:footnoteReference w:id="3"/>
      </w:r>
      <w:r>
        <w:rPr>
          <w:rFonts w:ascii="Trebuchet MS"/>
          <w:sz w:val="24"/>
          <w:szCs w:val="24"/>
          <w:lang w:val="en-US"/>
        </w:rPr>
        <w:t xml:space="preserve"> opposition to systemic denial of community self-governing authority</w:t>
      </w:r>
      <w:r>
        <w:rPr>
          <w:rFonts w:ascii="Times New Roman" w:eastAsia="Times New Roman" w:hAnsi="Times New Roman" w:cs="Times New Roman"/>
          <w:sz w:val="24"/>
          <w:szCs w:val="24"/>
          <w:vertAlign w:val="superscript"/>
        </w:rPr>
        <w:footnoteReference w:id="4"/>
      </w:r>
      <w:r>
        <w:rPr>
          <w:rFonts w:ascii="Trebuchet MS"/>
          <w:sz w:val="24"/>
          <w:szCs w:val="24"/>
          <w:lang w:val="en-US"/>
        </w:rPr>
        <w:t>, including its racist roots and impacts</w:t>
      </w:r>
      <w:r>
        <w:rPr>
          <w:rFonts w:ascii="Times New Roman" w:eastAsia="Times New Roman" w:hAnsi="Times New Roman" w:cs="Times New Roman"/>
          <w:sz w:val="24"/>
          <w:szCs w:val="24"/>
          <w:vertAlign w:val="superscript"/>
          <w:lang w:val="en-US"/>
        </w:rPr>
        <w:footnoteReference w:id="5"/>
      </w:r>
      <w:r>
        <w:rPr>
          <w:rFonts w:ascii="Times New Roman" w:eastAsia="Times New Roman" w:hAnsi="Times New Roman" w:cs="Times New Roman"/>
          <w:sz w:val="24"/>
          <w:szCs w:val="24"/>
          <w:vertAlign w:val="superscript"/>
          <w:lang w:val="en-US"/>
        </w:rPr>
        <w:footnoteReference w:id="6"/>
      </w:r>
      <w:r>
        <w:rPr>
          <w:rFonts w:ascii="Times New Roman" w:eastAsia="Times New Roman" w:hAnsi="Times New Roman" w:cs="Times New Roman"/>
          <w:sz w:val="24"/>
          <w:szCs w:val="24"/>
          <w:vertAlign w:val="superscript"/>
          <w:lang w:val="en-US"/>
        </w:rPr>
        <w:footnoteReference w:id="7"/>
      </w:r>
      <w:r>
        <w:rPr>
          <w:rFonts w:ascii="Trebuchet MS"/>
          <w:sz w:val="24"/>
          <w:szCs w:val="24"/>
          <w:lang w:val="en-US"/>
        </w:rPr>
        <w:t xml:space="preserve">, has </w:t>
      </w:r>
      <w:r>
        <w:rPr>
          <w:rFonts w:ascii="Trebuchet MS"/>
          <w:sz w:val="24"/>
          <w:szCs w:val="24"/>
          <w:lang w:val="en-US"/>
        </w:rPr>
        <w:t>brought new coalitions</w:t>
      </w:r>
      <w:r>
        <w:rPr>
          <w:rFonts w:ascii="Times New Roman" w:eastAsia="Times New Roman" w:hAnsi="Times New Roman" w:cs="Times New Roman"/>
          <w:sz w:val="24"/>
          <w:szCs w:val="24"/>
          <w:vertAlign w:val="superscript"/>
          <w:lang w:val="en-US"/>
        </w:rPr>
        <w:footnoteReference w:id="8"/>
      </w:r>
      <w:r>
        <w:rPr>
          <w:rFonts w:ascii="Trebuchet MS"/>
          <w:sz w:val="24"/>
          <w:szCs w:val="24"/>
          <w:lang w:val="en-US"/>
        </w:rPr>
        <w:t xml:space="preserve"> together and is amplified by community organizing elsewhere and throughout the world. Parallel to the ongoing Community Rights strategies challenging core legal doctrines </w:t>
      </w:r>
      <w:r>
        <w:rPr>
          <w:rFonts w:ascii="Trebuchet MS"/>
          <w:sz w:val="24"/>
          <w:szCs w:val="24"/>
          <w:lang w:val="en-US"/>
        </w:rPr>
        <w:t>to strengthen protections for workers, renters, the en</w:t>
      </w:r>
      <w:r>
        <w:rPr>
          <w:rFonts w:ascii="Trebuchet MS"/>
          <w:sz w:val="24"/>
          <w:szCs w:val="24"/>
          <w:lang w:val="en-US"/>
        </w:rPr>
        <w:t xml:space="preserve">vironment and the houseless </w:t>
      </w:r>
      <w:r>
        <w:rPr>
          <w:rFonts w:hAnsi="Trebuchet MS"/>
          <w:sz w:val="24"/>
          <w:szCs w:val="24"/>
          <w:lang w:val="en-US"/>
        </w:rPr>
        <w:t>—</w:t>
      </w:r>
      <w:r>
        <w:rPr>
          <w:rFonts w:ascii="Trebuchet MS"/>
          <w:sz w:val="24"/>
          <w:szCs w:val="24"/>
          <w:lang w:val="en-US"/>
        </w:rPr>
        <w:t xml:space="preserve"> </w:t>
      </w:r>
      <w:r>
        <w:rPr>
          <w:rFonts w:ascii="Trebuchet MS"/>
          <w:sz w:val="24"/>
          <w:szCs w:val="24"/>
          <w:lang w:val="en-US"/>
        </w:rPr>
        <w:t xml:space="preserve">which break through limiting discourses of centralism v. Libertarianism </w:t>
      </w:r>
      <w:r>
        <w:rPr>
          <w:rFonts w:hAnsi="Trebuchet MS"/>
          <w:sz w:val="24"/>
          <w:szCs w:val="24"/>
          <w:lang w:val="en-US"/>
        </w:rPr>
        <w:t>—</w:t>
      </w:r>
      <w:r>
        <w:rPr>
          <w:rFonts w:hAnsi="Trebuchet MS"/>
          <w:sz w:val="24"/>
          <w:szCs w:val="24"/>
          <w:lang w:val="en-US"/>
        </w:rPr>
        <w:t xml:space="preserve"> </w:t>
      </w:r>
      <w:r>
        <w:rPr>
          <w:rFonts w:ascii="Trebuchet MS"/>
          <w:sz w:val="24"/>
          <w:szCs w:val="24"/>
          <w:lang w:val="en-US"/>
        </w:rPr>
        <w:t xml:space="preserve">is the Global Municipalist Movement, informed by the work of Murray Bookchin. </w:t>
      </w:r>
    </w:p>
    <w:p w14:paraId="4C2672B6" w14:textId="77777777" w:rsidR="00011774" w:rsidRDefault="00011774">
      <w:pPr>
        <w:pStyle w:val="BodyA"/>
        <w:spacing w:after="0"/>
        <w:rPr>
          <w:sz w:val="24"/>
          <w:szCs w:val="24"/>
        </w:rPr>
      </w:pPr>
    </w:p>
    <w:p w14:paraId="7A0B7CD7" w14:textId="77777777" w:rsidR="00011774" w:rsidRDefault="00273939">
      <w:pPr>
        <w:pStyle w:val="BodyA"/>
        <w:spacing w:after="0"/>
        <w:jc w:val="center"/>
        <w:rPr>
          <w:b/>
          <w:bCs/>
          <w:sz w:val="24"/>
          <w:szCs w:val="24"/>
        </w:rPr>
      </w:pPr>
      <w:r>
        <w:rPr>
          <w:b/>
          <w:bCs/>
          <w:sz w:val="24"/>
          <w:szCs w:val="24"/>
          <w:lang w:val="en-US"/>
        </w:rPr>
        <w:t>Background</w:t>
      </w:r>
    </w:p>
    <w:p w14:paraId="25C1444F" w14:textId="77777777" w:rsidR="00011774" w:rsidRDefault="00011774">
      <w:pPr>
        <w:pStyle w:val="BodyA"/>
        <w:spacing w:after="0"/>
        <w:jc w:val="center"/>
        <w:rPr>
          <w:b/>
          <w:bCs/>
          <w:sz w:val="24"/>
          <w:szCs w:val="24"/>
        </w:rPr>
      </w:pPr>
    </w:p>
    <w:p w14:paraId="02665C73" w14:textId="2D6F0F9B" w:rsidR="00011774" w:rsidRDefault="00273939">
      <w:pPr>
        <w:pStyle w:val="BodyA"/>
        <w:spacing w:after="0"/>
        <w:rPr>
          <w:sz w:val="24"/>
          <w:szCs w:val="24"/>
        </w:rPr>
      </w:pPr>
      <w:r>
        <w:rPr>
          <w:rFonts w:ascii="Trebuchet MS"/>
          <w:sz w:val="24"/>
          <w:szCs w:val="24"/>
          <w:lang w:val="en-US"/>
        </w:rPr>
        <w:t xml:space="preserve">Ben first became acquainted with the work of Murray Bookchin and what </w:t>
      </w:r>
      <w:r>
        <w:rPr>
          <w:rFonts w:ascii="Trebuchet MS"/>
          <w:sz w:val="24"/>
          <w:szCs w:val="24"/>
          <w:lang w:val="en-US"/>
        </w:rPr>
        <w:t>Bookchin</w:t>
      </w:r>
      <w:r>
        <w:rPr>
          <w:rFonts w:ascii="Trebuchet MS"/>
          <w:sz w:val="24"/>
          <w:szCs w:val="24"/>
          <w:lang w:val="en-US"/>
        </w:rPr>
        <w:t xml:space="preserve"> then called </w:t>
      </w:r>
      <w:r>
        <w:rPr>
          <w:rFonts w:hAnsi="Trebuchet MS"/>
          <w:sz w:val="24"/>
          <w:szCs w:val="24"/>
        </w:rPr>
        <w:t>“</w:t>
      </w:r>
      <w:r>
        <w:rPr>
          <w:rFonts w:ascii="Trebuchet MS"/>
          <w:sz w:val="24"/>
          <w:szCs w:val="24"/>
        </w:rPr>
        <w:t>Libertarian Municipalism</w:t>
      </w:r>
      <w:r>
        <w:rPr>
          <w:rFonts w:hAnsi="Trebuchet MS"/>
          <w:sz w:val="24"/>
          <w:szCs w:val="24"/>
        </w:rPr>
        <w:t>”</w:t>
      </w:r>
      <w:r>
        <w:rPr>
          <w:rFonts w:ascii="Trebuchet MS"/>
          <w:sz w:val="24"/>
          <w:szCs w:val="24"/>
        </w:rPr>
        <w:t xml:space="preserve"> </w:t>
      </w:r>
      <w:r>
        <w:rPr>
          <w:rFonts w:ascii="Trebuchet MS"/>
          <w:sz w:val="24"/>
          <w:szCs w:val="24"/>
          <w:lang w:val="en-US"/>
        </w:rPr>
        <w:t>in the mid-1990s, while reprinting a few of Bookchin</w:t>
      </w:r>
      <w:r>
        <w:rPr>
          <w:rFonts w:hAnsi="Trebuchet MS"/>
          <w:sz w:val="24"/>
          <w:szCs w:val="24"/>
          <w:lang w:val="fr-FR"/>
        </w:rPr>
        <w:t>’</w:t>
      </w:r>
      <w:r>
        <w:rPr>
          <w:rFonts w:ascii="Trebuchet MS"/>
          <w:sz w:val="24"/>
          <w:szCs w:val="24"/>
          <w:lang w:val="en-US"/>
        </w:rPr>
        <w:t xml:space="preserve">s articles during the four-year run of the publication, </w:t>
      </w:r>
      <w:r>
        <w:rPr>
          <w:i/>
          <w:iCs/>
          <w:sz w:val="24"/>
          <w:szCs w:val="24"/>
          <w:lang w:val="en-US"/>
        </w:rPr>
        <w:t>Groundswell</w:t>
      </w:r>
      <w:r>
        <w:rPr>
          <w:rFonts w:ascii="Trebuchet MS"/>
          <w:sz w:val="24"/>
          <w:szCs w:val="24"/>
          <w:lang w:val="en-US"/>
        </w:rPr>
        <w:t>, a monthly jour</w:t>
      </w:r>
      <w:r>
        <w:rPr>
          <w:rFonts w:ascii="Trebuchet MS"/>
          <w:sz w:val="24"/>
          <w:szCs w:val="24"/>
          <w:lang w:val="en-US"/>
        </w:rPr>
        <w:t>nal of anti-authoritarian views. Since then, Bookchin</w:t>
      </w:r>
      <w:r>
        <w:rPr>
          <w:rFonts w:hAnsi="Trebuchet MS"/>
          <w:sz w:val="24"/>
          <w:szCs w:val="24"/>
          <w:lang w:val="fr-FR"/>
        </w:rPr>
        <w:t>’</w:t>
      </w:r>
      <w:r>
        <w:rPr>
          <w:rFonts w:ascii="Trebuchet MS"/>
          <w:sz w:val="24"/>
          <w:szCs w:val="24"/>
          <w:lang w:val="en-US"/>
        </w:rPr>
        <w:t xml:space="preserve">s concepts on Municipalism </w:t>
      </w:r>
      <w:r>
        <w:rPr>
          <w:rFonts w:ascii="Trebuchet MS"/>
          <w:sz w:val="24"/>
          <w:szCs w:val="24"/>
          <w:lang w:val="en-US"/>
        </w:rPr>
        <w:lastRenderedPageBreak/>
        <w:t xml:space="preserve">and local community self-determination have continued to </w:t>
      </w:r>
      <w:r>
        <w:rPr>
          <w:rFonts w:ascii="Trebuchet MS"/>
          <w:sz w:val="24"/>
          <w:szCs w:val="24"/>
          <w:lang w:val="en-US"/>
        </w:rPr>
        <w:t>influence Ben</w:t>
      </w:r>
      <w:r>
        <w:rPr>
          <w:rFonts w:hAnsi="Trebuchet MS"/>
          <w:sz w:val="24"/>
          <w:szCs w:val="24"/>
          <w:lang w:val="en-US"/>
        </w:rPr>
        <w:t>’</w:t>
      </w:r>
      <w:r>
        <w:rPr>
          <w:rFonts w:ascii="Trebuchet MS"/>
          <w:sz w:val="24"/>
          <w:szCs w:val="24"/>
          <w:lang w:val="en-US"/>
        </w:rPr>
        <w:t>s work</w:t>
      </w:r>
      <w:r>
        <w:rPr>
          <w:rFonts w:ascii="Trebuchet MS"/>
          <w:sz w:val="24"/>
          <w:szCs w:val="24"/>
          <w:lang w:val="en-US"/>
        </w:rPr>
        <w:t>, beginning in 2004, when Ben joined CELDF.</w:t>
      </w:r>
    </w:p>
    <w:p w14:paraId="2BF561C6" w14:textId="77777777" w:rsidR="00011774" w:rsidRDefault="00011774">
      <w:pPr>
        <w:pStyle w:val="BodyA"/>
        <w:spacing w:after="0"/>
        <w:rPr>
          <w:sz w:val="24"/>
          <w:szCs w:val="24"/>
        </w:rPr>
      </w:pPr>
    </w:p>
    <w:p w14:paraId="7FB4B308" w14:textId="18B68A72" w:rsidR="00011774" w:rsidRDefault="00273939">
      <w:pPr>
        <w:pStyle w:val="BodyA"/>
        <w:spacing w:after="0"/>
        <w:jc w:val="center"/>
        <w:rPr>
          <w:b/>
          <w:bCs/>
          <w:sz w:val="24"/>
          <w:szCs w:val="24"/>
        </w:rPr>
      </w:pPr>
      <w:r>
        <w:rPr>
          <w:b/>
          <w:bCs/>
          <w:sz w:val="24"/>
          <w:szCs w:val="24"/>
          <w:lang w:val="en-US"/>
        </w:rPr>
        <w:t>U.S. Constitutional Hostility</w:t>
      </w:r>
      <w:r>
        <w:rPr>
          <w:b/>
          <w:bCs/>
          <w:sz w:val="24"/>
          <w:szCs w:val="24"/>
          <w:lang w:val="en-US"/>
        </w:rPr>
        <w:t xml:space="preserve"> </w:t>
      </w:r>
      <w:r>
        <w:rPr>
          <w:b/>
          <w:bCs/>
          <w:sz w:val="24"/>
          <w:szCs w:val="24"/>
          <w:lang w:val="en-US"/>
        </w:rPr>
        <w:t>T</w:t>
      </w:r>
      <w:r>
        <w:rPr>
          <w:b/>
          <w:bCs/>
          <w:sz w:val="24"/>
          <w:szCs w:val="24"/>
          <w:lang w:val="en-US"/>
        </w:rPr>
        <w:t>oward Community Self-Government</w:t>
      </w:r>
    </w:p>
    <w:p w14:paraId="52454366" w14:textId="77777777" w:rsidR="00011774" w:rsidRDefault="00273939">
      <w:pPr>
        <w:pStyle w:val="BodyA"/>
        <w:spacing w:before="180" w:after="0" w:line="240" w:lineRule="auto"/>
        <w:jc w:val="both"/>
        <w:rPr>
          <w:i/>
          <w:iCs/>
          <w:sz w:val="24"/>
          <w:szCs w:val="24"/>
        </w:rPr>
      </w:pPr>
      <w:r>
        <w:rPr>
          <w:b/>
          <w:bCs/>
          <w:sz w:val="24"/>
          <w:szCs w:val="24"/>
          <w:lang w:val="en-US"/>
        </w:rPr>
        <w:t>“</w:t>
      </w:r>
      <w:r>
        <w:rPr>
          <w:i/>
          <w:iCs/>
          <w:sz w:val="24"/>
          <w:szCs w:val="24"/>
          <w:lang w:val="en-US"/>
        </w:rPr>
        <w:t>In carrying out the original intent of the Constitution with reference to property the courts have developed and applied the doctrine of vested rights</w:t>
      </w:r>
      <w:r>
        <w:rPr>
          <w:i/>
          <w:iCs/>
          <w:sz w:val="24"/>
          <w:szCs w:val="24"/>
        </w:rPr>
        <w:t>—</w:t>
      </w:r>
      <w:r>
        <w:rPr>
          <w:i/>
          <w:iCs/>
          <w:sz w:val="24"/>
          <w:szCs w:val="24"/>
          <w:lang w:val="en-US"/>
        </w:rPr>
        <w:t xml:space="preserve">a doctrine which has been used with telling effect for the </w:t>
      </w:r>
      <w:r>
        <w:rPr>
          <w:i/>
          <w:iCs/>
          <w:sz w:val="24"/>
          <w:szCs w:val="24"/>
          <w:lang w:val="en-US"/>
        </w:rPr>
        <w:t>purpose of defeating democratic reforms. This doctrine briefly stated is that property rights once granted are sacred and inviolable. A rigid adherence to this policy . . . would disregard the fact that vested rights are often vested wrongs, and that . . .</w:t>
      </w:r>
      <w:r>
        <w:rPr>
          <w:i/>
          <w:iCs/>
          <w:sz w:val="24"/>
          <w:szCs w:val="24"/>
          <w:lang w:val="en-US"/>
        </w:rPr>
        <w:t xml:space="preserve"> government without authority to interfere with vested rights would have little power to promote the general welfare through legislation.</w:t>
      </w:r>
      <w:r>
        <w:rPr>
          <w:i/>
          <w:iCs/>
          <w:sz w:val="24"/>
          <w:szCs w:val="24"/>
          <w:vertAlign w:val="superscript"/>
        </w:rPr>
        <w:footnoteReference w:id="9"/>
      </w:r>
      <w:r>
        <w:rPr>
          <w:i/>
          <w:iCs/>
          <w:sz w:val="24"/>
          <w:szCs w:val="24"/>
          <w:lang w:val="en-US"/>
        </w:rPr>
        <w:t>”</w:t>
      </w:r>
    </w:p>
    <w:p w14:paraId="463785E2" w14:textId="77777777" w:rsidR="00011774" w:rsidRDefault="00273939">
      <w:pPr>
        <w:pStyle w:val="BodyA"/>
        <w:spacing w:after="0"/>
        <w:ind w:left="5760" w:firstLine="720"/>
        <w:jc w:val="center"/>
        <w:rPr>
          <w:sz w:val="24"/>
          <w:szCs w:val="24"/>
        </w:rPr>
      </w:pPr>
      <w:r>
        <w:rPr>
          <w:rFonts w:ascii="Trebuchet MS"/>
          <w:sz w:val="24"/>
          <w:szCs w:val="24"/>
          <w:lang w:val="en-US"/>
        </w:rPr>
        <w:t>J. Allen Smith</w:t>
      </w:r>
    </w:p>
    <w:p w14:paraId="5B18032B" w14:textId="77777777" w:rsidR="00011774" w:rsidRDefault="00011774">
      <w:pPr>
        <w:pStyle w:val="BodyA"/>
        <w:spacing w:after="0" w:line="240" w:lineRule="auto"/>
        <w:rPr>
          <w:sz w:val="24"/>
          <w:szCs w:val="24"/>
        </w:rPr>
      </w:pPr>
    </w:p>
    <w:p w14:paraId="433E812E" w14:textId="4D3E35B8" w:rsidR="00011774" w:rsidRDefault="00273939">
      <w:pPr>
        <w:pStyle w:val="BodyA"/>
        <w:spacing w:after="0" w:line="240" w:lineRule="auto"/>
        <w:rPr>
          <w:sz w:val="24"/>
          <w:szCs w:val="24"/>
        </w:rPr>
      </w:pPr>
      <w:r>
        <w:rPr>
          <w:rFonts w:ascii="Trebuchet MS"/>
          <w:sz w:val="24"/>
          <w:szCs w:val="24"/>
          <w:lang w:val="en-US"/>
        </w:rPr>
        <w:t>When considering how we might practically apply the principles of Murray Bookchin</w:t>
      </w:r>
      <w:r>
        <w:rPr>
          <w:rFonts w:hAnsi="Trebuchet MS"/>
          <w:sz w:val="24"/>
          <w:szCs w:val="24"/>
          <w:lang w:val="fr-FR"/>
        </w:rPr>
        <w:t>’</w:t>
      </w:r>
      <w:r>
        <w:rPr>
          <w:rFonts w:ascii="Trebuchet MS"/>
          <w:sz w:val="24"/>
          <w:szCs w:val="24"/>
          <w:lang w:val="en-US"/>
        </w:rPr>
        <w:t>s brand of munici</w:t>
      </w:r>
      <w:r>
        <w:rPr>
          <w:rFonts w:ascii="Trebuchet MS"/>
          <w:sz w:val="24"/>
          <w:szCs w:val="24"/>
          <w:lang w:val="en-US"/>
        </w:rPr>
        <w:t>palism within the United States, we must dispense with false legends of so-called American democracy</w:t>
      </w:r>
      <w:r>
        <w:rPr>
          <w:rFonts w:ascii="Trebuchet MS"/>
          <w:sz w:val="24"/>
          <w:szCs w:val="24"/>
        </w:rPr>
        <w:t xml:space="preserve">. </w:t>
      </w:r>
      <w:r>
        <w:rPr>
          <w:rFonts w:ascii="Trebuchet MS"/>
          <w:sz w:val="24"/>
          <w:szCs w:val="24"/>
          <w:lang w:val="en-US"/>
        </w:rPr>
        <w:t>Experience shows that what</w:t>
      </w:r>
      <w:r>
        <w:rPr>
          <w:rFonts w:hAnsi="Trebuchet MS"/>
          <w:sz w:val="24"/>
          <w:szCs w:val="24"/>
          <w:lang w:val="fr-FR"/>
        </w:rPr>
        <w:t>’</w:t>
      </w:r>
      <w:r>
        <w:rPr>
          <w:rFonts w:ascii="Trebuchet MS"/>
          <w:sz w:val="24"/>
          <w:szCs w:val="24"/>
          <w:lang w:val="en-US"/>
        </w:rPr>
        <w:t xml:space="preserve">s stopping municipal communities from protecting the health, </w:t>
      </w:r>
      <w:r>
        <w:rPr>
          <w:rFonts w:ascii="Trebuchet MS"/>
          <w:sz w:val="24"/>
          <w:szCs w:val="24"/>
          <w:lang w:val="en-US"/>
        </w:rPr>
        <w:t>dignity</w:t>
      </w:r>
      <w:r>
        <w:rPr>
          <w:rFonts w:ascii="Trebuchet MS"/>
          <w:sz w:val="24"/>
          <w:szCs w:val="24"/>
          <w:lang w:val="en-US"/>
        </w:rPr>
        <w:t>, and rights of their residents and the survivability</w:t>
      </w:r>
      <w:r>
        <w:rPr>
          <w:rFonts w:ascii="Trebuchet MS"/>
          <w:sz w:val="24"/>
          <w:szCs w:val="24"/>
          <w:lang w:val="en-US"/>
        </w:rPr>
        <w:t xml:space="preserve"> of </w:t>
      </w:r>
      <w:r>
        <w:rPr>
          <w:rFonts w:ascii="Trebuchet MS"/>
          <w:sz w:val="24"/>
          <w:szCs w:val="24"/>
          <w:lang w:val="en-US"/>
        </w:rPr>
        <w:t>local ecosystems is</w:t>
      </w:r>
      <w:r w:rsidR="000F0A21">
        <w:rPr>
          <w:rFonts w:ascii="Trebuchet MS"/>
          <w:sz w:val="24"/>
          <w:szCs w:val="24"/>
          <w:lang w:val="en-US"/>
        </w:rPr>
        <w:t xml:space="preserve"> </w:t>
      </w:r>
      <w:r>
        <w:rPr>
          <w:rFonts w:ascii="Trebuchet MS"/>
          <w:sz w:val="24"/>
          <w:szCs w:val="24"/>
          <w:lang w:val="en-US"/>
        </w:rPr>
        <w:t>n</w:t>
      </w:r>
      <w:r w:rsidR="000F0A21">
        <w:rPr>
          <w:rFonts w:hAnsi="Trebuchet MS"/>
          <w:sz w:val="24"/>
          <w:szCs w:val="24"/>
          <w:lang w:val="fr-FR"/>
        </w:rPr>
        <w:t>o</w:t>
      </w:r>
      <w:r>
        <w:rPr>
          <w:rFonts w:ascii="Trebuchet MS"/>
          <w:sz w:val="24"/>
          <w:szCs w:val="24"/>
          <w:lang w:val="en-US"/>
        </w:rPr>
        <w:t>t a lack of need, will or desire. It is the systemic limitations placed on political engagement. In the United States, local self-government through community legislation that impedes corporate property</w:t>
      </w:r>
      <w:r>
        <w:rPr>
          <w:rFonts w:hAnsi="Trebuchet MS"/>
          <w:sz w:val="24"/>
          <w:szCs w:val="24"/>
          <w:lang w:val="en-US"/>
        </w:rPr>
        <w:t>’</w:t>
      </w:r>
      <w:r>
        <w:rPr>
          <w:rFonts w:ascii="Trebuchet MS"/>
          <w:sz w:val="24"/>
          <w:szCs w:val="24"/>
          <w:lang w:val="en-US"/>
        </w:rPr>
        <w:t xml:space="preserve">s </w:t>
      </w:r>
      <w:r>
        <w:rPr>
          <w:rFonts w:hAnsi="Trebuchet MS"/>
          <w:sz w:val="24"/>
          <w:szCs w:val="24"/>
          <w:lang w:val="en-US"/>
        </w:rPr>
        <w:t>“</w:t>
      </w:r>
      <w:r>
        <w:rPr>
          <w:rFonts w:ascii="Trebuchet MS"/>
          <w:sz w:val="24"/>
          <w:szCs w:val="24"/>
          <w:lang w:val="en-US"/>
        </w:rPr>
        <w:t>personhood rights</w:t>
      </w:r>
      <w:r>
        <w:rPr>
          <w:rFonts w:hAnsi="Trebuchet MS"/>
          <w:sz w:val="24"/>
          <w:szCs w:val="24"/>
          <w:lang w:val="en-US"/>
        </w:rPr>
        <w:t>”</w:t>
      </w:r>
      <w:r>
        <w:rPr>
          <w:rFonts w:ascii="Trebuchet MS"/>
          <w:sz w:val="24"/>
          <w:szCs w:val="24"/>
          <w:lang w:val="en-US"/>
        </w:rPr>
        <w:t xml:space="preserve"> is made indirectly illegal or narrowly confined.</w:t>
      </w:r>
    </w:p>
    <w:p w14:paraId="4FEEA584" w14:textId="77777777" w:rsidR="00011774" w:rsidRDefault="00011774">
      <w:pPr>
        <w:pStyle w:val="BodyA"/>
        <w:spacing w:after="0" w:line="240" w:lineRule="auto"/>
        <w:rPr>
          <w:sz w:val="24"/>
          <w:szCs w:val="24"/>
        </w:rPr>
      </w:pPr>
    </w:p>
    <w:p w14:paraId="115090B3" w14:textId="77777777" w:rsidR="00011774" w:rsidRDefault="00273939">
      <w:pPr>
        <w:pStyle w:val="BodyA"/>
        <w:spacing w:after="0" w:line="240" w:lineRule="auto"/>
        <w:rPr>
          <w:sz w:val="24"/>
          <w:szCs w:val="24"/>
          <w:lang w:val="en-US"/>
        </w:rPr>
      </w:pPr>
      <w:r>
        <w:rPr>
          <w:rFonts w:ascii="Trebuchet MS"/>
          <w:sz w:val="24"/>
          <w:szCs w:val="24"/>
          <w:lang w:val="en-US"/>
        </w:rPr>
        <w:t>From Bookchin we learn a simple definition of democracy, which we paraphrase as: the people affected by governing decisions are the ones who make those decisions. Similarly, Harvard</w:t>
      </w:r>
      <w:r>
        <w:rPr>
          <w:rFonts w:hAnsi="Trebuchet MS"/>
          <w:sz w:val="24"/>
          <w:szCs w:val="24"/>
          <w:lang w:val="fr-FR"/>
        </w:rPr>
        <w:t>’</w:t>
      </w:r>
      <w:r>
        <w:rPr>
          <w:rFonts w:ascii="Trebuchet MS"/>
          <w:sz w:val="24"/>
          <w:szCs w:val="24"/>
          <w:lang w:val="en-US"/>
        </w:rPr>
        <w:t>s Ger</w:t>
      </w:r>
      <w:r>
        <w:rPr>
          <w:rFonts w:ascii="Trebuchet MS"/>
          <w:sz w:val="24"/>
          <w:szCs w:val="24"/>
          <w:lang w:val="en-US"/>
        </w:rPr>
        <w:t xml:space="preserve">ald Frug, an expert on U.S. municipal government, wrote that </w:t>
      </w:r>
      <w:r>
        <w:rPr>
          <w:rFonts w:hAnsi="Trebuchet MS"/>
          <w:sz w:val="24"/>
          <w:szCs w:val="24"/>
        </w:rPr>
        <w:t>“</w:t>
      </w:r>
      <w:r>
        <w:rPr>
          <w:rFonts w:ascii="Trebuchet MS"/>
          <w:sz w:val="24"/>
          <w:szCs w:val="24"/>
          <w:lang w:val="en-US"/>
        </w:rPr>
        <w:t>public freedom [is] the ability to participate actively in the basic societal decisions that affect one</w:t>
      </w:r>
      <w:r>
        <w:rPr>
          <w:rFonts w:hAnsi="Trebuchet MS"/>
          <w:sz w:val="24"/>
          <w:szCs w:val="24"/>
          <w:lang w:val="fr-FR"/>
        </w:rPr>
        <w:t>’</w:t>
      </w:r>
      <w:r>
        <w:rPr>
          <w:rFonts w:ascii="Trebuchet MS"/>
          <w:sz w:val="24"/>
          <w:szCs w:val="24"/>
          <w:lang w:val="en-US"/>
        </w:rPr>
        <w:t>s life.</w:t>
      </w:r>
      <w:r>
        <w:rPr>
          <w:rFonts w:hAnsi="Trebuchet MS"/>
          <w:sz w:val="24"/>
          <w:szCs w:val="24"/>
        </w:rPr>
        <w:t>”</w:t>
      </w:r>
      <w:r>
        <w:rPr>
          <w:rFonts w:ascii="Times New Roman" w:eastAsia="Times New Roman" w:hAnsi="Times New Roman" w:cs="Times New Roman"/>
          <w:sz w:val="24"/>
          <w:szCs w:val="24"/>
          <w:vertAlign w:val="superscript"/>
        </w:rPr>
        <w:footnoteReference w:id="10"/>
      </w:r>
      <w:r>
        <w:rPr>
          <w:rFonts w:ascii="Trebuchet MS"/>
          <w:sz w:val="24"/>
          <w:szCs w:val="24"/>
          <w:lang w:val="en-US"/>
        </w:rPr>
        <w:t xml:space="preserve"> It is these versions of democracy and freedom that are limited by U.S. law on t</w:t>
      </w:r>
      <w:r>
        <w:rPr>
          <w:rFonts w:ascii="Trebuchet MS"/>
          <w:sz w:val="24"/>
          <w:szCs w:val="24"/>
          <w:lang w:val="en-US"/>
        </w:rPr>
        <w:t>he local level for anyone challenging corporate hegemony. Municipal activists who test these boundaries quickly learn how the game is rigged, and that to establish true democracy and public freedom requires challenging or dismantling the fixed system. In t</w:t>
      </w:r>
      <w:r>
        <w:rPr>
          <w:rFonts w:ascii="Trebuchet MS"/>
          <w:sz w:val="24"/>
          <w:szCs w:val="24"/>
          <w:lang w:val="en-US"/>
        </w:rPr>
        <w:t>he U.S., municipal activists are routinely</w:t>
      </w:r>
      <w:r>
        <w:rPr>
          <w:rFonts w:ascii="Times New Roman" w:eastAsia="Times New Roman" w:hAnsi="Times New Roman" w:cs="Times New Roman"/>
          <w:sz w:val="24"/>
          <w:szCs w:val="24"/>
          <w:vertAlign w:val="superscript"/>
          <w:lang w:val="en-US"/>
        </w:rPr>
        <w:footnoteReference w:id="11"/>
      </w:r>
      <w:r>
        <w:rPr>
          <w:rFonts w:ascii="Trebuchet MS"/>
          <w:sz w:val="24"/>
          <w:szCs w:val="24"/>
          <w:lang w:val="en-US"/>
        </w:rPr>
        <w:t xml:space="preserve"> repressed by courts that protect corporate property from municipal law making.</w:t>
      </w:r>
    </w:p>
    <w:p w14:paraId="5ACBCB0A" w14:textId="77777777" w:rsidR="00011774" w:rsidRDefault="00011774">
      <w:pPr>
        <w:pStyle w:val="BodyA"/>
        <w:spacing w:after="0" w:line="240" w:lineRule="auto"/>
        <w:rPr>
          <w:sz w:val="24"/>
          <w:szCs w:val="24"/>
          <w:lang w:val="en-US"/>
        </w:rPr>
      </w:pPr>
    </w:p>
    <w:p w14:paraId="57391852" w14:textId="77777777" w:rsidR="00011774" w:rsidRDefault="00273939">
      <w:pPr>
        <w:pStyle w:val="BodyA"/>
        <w:spacing w:after="0" w:line="240" w:lineRule="auto"/>
        <w:rPr>
          <w:sz w:val="24"/>
          <w:szCs w:val="24"/>
        </w:rPr>
      </w:pPr>
      <w:r>
        <w:rPr>
          <w:rFonts w:ascii="Trebuchet MS"/>
          <w:sz w:val="24"/>
          <w:szCs w:val="24"/>
          <w:lang w:val="en-US"/>
        </w:rPr>
        <w:t xml:space="preserve">Bookchin understood that passionately working to mitigate the symptoms of injustice, while leaving the causes unchallenged, is the </w:t>
      </w:r>
      <w:r>
        <w:rPr>
          <w:rFonts w:ascii="Trebuchet MS"/>
          <w:sz w:val="24"/>
          <w:szCs w:val="24"/>
          <w:lang w:val="en-US"/>
        </w:rPr>
        <w:t>role of the reformer, while the radical activist must strive to discover, challenge and cure the root causes of injustice.</w:t>
      </w:r>
    </w:p>
    <w:p w14:paraId="4466EBE3" w14:textId="77777777" w:rsidR="00011774" w:rsidRDefault="00011774">
      <w:pPr>
        <w:pStyle w:val="BodyA"/>
        <w:spacing w:after="0" w:line="240" w:lineRule="auto"/>
        <w:rPr>
          <w:sz w:val="24"/>
          <w:szCs w:val="24"/>
        </w:rPr>
      </w:pPr>
    </w:p>
    <w:p w14:paraId="3B744519" w14:textId="77777777" w:rsidR="00011774" w:rsidRDefault="00273939">
      <w:pPr>
        <w:pStyle w:val="BodyA"/>
        <w:spacing w:after="0" w:line="240" w:lineRule="auto"/>
        <w:rPr>
          <w:sz w:val="24"/>
          <w:szCs w:val="24"/>
        </w:rPr>
      </w:pPr>
      <w:r>
        <w:rPr>
          <w:rFonts w:ascii="Trebuchet MS"/>
          <w:sz w:val="24"/>
          <w:szCs w:val="24"/>
          <w:lang w:val="en-US"/>
        </w:rPr>
        <w:lastRenderedPageBreak/>
        <w:t>Taking this distinction seriously, CELDF community organizers have worked to encourage neighbors and municipal governments to act on</w:t>
      </w:r>
      <w:r>
        <w:rPr>
          <w:rFonts w:ascii="Trebuchet MS"/>
          <w:sz w:val="24"/>
          <w:szCs w:val="24"/>
          <w:lang w:val="en-US"/>
        </w:rPr>
        <w:t xml:space="preserve"> the premise that true democracy and freedom are achievable not by begging state and federal governments to acquiesce to community needs and aspirations, but by rejecting administrative systems of regulatory law offered as salves for exploitation</w:t>
      </w:r>
      <w:r>
        <w:rPr>
          <w:rFonts w:ascii="Trebuchet MS"/>
          <w:sz w:val="24"/>
          <w:szCs w:val="24"/>
        </w:rPr>
        <w:t>.</w:t>
      </w:r>
    </w:p>
    <w:p w14:paraId="768B9D8E" w14:textId="77777777" w:rsidR="00011774" w:rsidRDefault="00011774">
      <w:pPr>
        <w:pStyle w:val="BodyA"/>
        <w:spacing w:after="0" w:line="240" w:lineRule="auto"/>
        <w:rPr>
          <w:sz w:val="24"/>
          <w:szCs w:val="24"/>
        </w:rPr>
      </w:pPr>
    </w:p>
    <w:p w14:paraId="652849BE" w14:textId="77777777" w:rsidR="00011774" w:rsidRDefault="00273939">
      <w:pPr>
        <w:pStyle w:val="BodyA"/>
        <w:spacing w:after="0" w:line="240" w:lineRule="auto"/>
        <w:rPr>
          <w:sz w:val="24"/>
          <w:szCs w:val="24"/>
        </w:rPr>
      </w:pPr>
      <w:r>
        <w:rPr>
          <w:rFonts w:ascii="Trebuchet MS"/>
          <w:sz w:val="24"/>
          <w:szCs w:val="24"/>
          <w:lang w:val="en-US"/>
        </w:rPr>
        <w:t>Through</w:t>
      </w:r>
      <w:r>
        <w:rPr>
          <w:rFonts w:ascii="Trebuchet MS"/>
          <w:sz w:val="24"/>
          <w:szCs w:val="24"/>
          <w:lang w:val="en-US"/>
        </w:rPr>
        <w:t xml:space="preserve"> </w:t>
      </w:r>
      <w:r>
        <w:rPr>
          <w:rFonts w:hAnsi="Trebuchet MS"/>
          <w:sz w:val="24"/>
          <w:szCs w:val="24"/>
          <w:lang w:val="en-US"/>
        </w:rPr>
        <w:t>“</w:t>
      </w:r>
      <w:r>
        <w:rPr>
          <w:rFonts w:ascii="Trebuchet MS"/>
          <w:sz w:val="24"/>
          <w:szCs w:val="24"/>
          <w:lang w:val="en-US"/>
        </w:rPr>
        <w:t>Community Rights</w:t>
      </w:r>
      <w:r>
        <w:rPr>
          <w:rFonts w:hAnsi="Trebuchet MS"/>
          <w:sz w:val="24"/>
          <w:szCs w:val="24"/>
          <w:lang w:val="en-US"/>
        </w:rPr>
        <w:t>”</w:t>
      </w:r>
      <w:r>
        <w:rPr>
          <w:rFonts w:ascii="Trebuchet MS"/>
          <w:sz w:val="24"/>
          <w:szCs w:val="24"/>
          <w:lang w:val="en-US"/>
        </w:rPr>
        <w:t xml:space="preserve"> organizing, CELDF took up the work of deconstructing the oppressive foundations of the government of the United States around demands for community self-determination.</w:t>
      </w:r>
      <w:r>
        <w:rPr>
          <w:rFonts w:ascii="Trebuchet MS"/>
          <w:sz w:val="24"/>
          <w:szCs w:val="24"/>
        </w:rPr>
        <w:t xml:space="preserve"> </w:t>
      </w:r>
      <w:r>
        <w:rPr>
          <w:rFonts w:ascii="Trebuchet MS"/>
          <w:sz w:val="24"/>
          <w:szCs w:val="24"/>
          <w:lang w:val="en-US"/>
        </w:rPr>
        <w:t>In 2003 we launched an educational seminar</w:t>
      </w:r>
      <w:r>
        <w:rPr>
          <w:rFonts w:ascii="Trebuchet MS"/>
          <w:sz w:val="24"/>
          <w:szCs w:val="24"/>
          <w:lang w:val="da-DK"/>
        </w:rPr>
        <w:t xml:space="preserve"> dubbed </w:t>
      </w:r>
      <w:r>
        <w:rPr>
          <w:rFonts w:hAnsi="Trebuchet MS"/>
          <w:sz w:val="24"/>
          <w:szCs w:val="24"/>
        </w:rPr>
        <w:t>“</w:t>
      </w:r>
      <w:r>
        <w:rPr>
          <w:rFonts w:ascii="Trebuchet MS"/>
          <w:sz w:val="24"/>
          <w:szCs w:val="24"/>
          <w:lang w:val="en-US"/>
        </w:rPr>
        <w:t>Democracy Schools</w:t>
      </w:r>
      <w:r>
        <w:rPr>
          <w:rFonts w:ascii="Trebuchet MS"/>
          <w:sz w:val="24"/>
          <w:szCs w:val="24"/>
          <w:lang w:val="en-US"/>
        </w:rPr>
        <w:t>.</w:t>
      </w:r>
      <w:r>
        <w:rPr>
          <w:rFonts w:hAnsi="Trebuchet MS"/>
          <w:sz w:val="24"/>
          <w:szCs w:val="24"/>
        </w:rPr>
        <w:t>”</w:t>
      </w:r>
      <w:r>
        <w:rPr>
          <w:rFonts w:ascii="Trebuchet MS"/>
          <w:sz w:val="24"/>
          <w:szCs w:val="24"/>
        </w:rPr>
        <w:t xml:space="preserve"> </w:t>
      </w:r>
      <w:r>
        <w:rPr>
          <w:rFonts w:ascii="Trebuchet MS"/>
          <w:sz w:val="24"/>
          <w:szCs w:val="24"/>
          <w:lang w:val="en-US"/>
        </w:rPr>
        <w:t>Beginning in 2004, we operationalized this analysis by using what nominal municipal lawmaking authority exists to legislate locally while asserting local governance in protection of fundamental rights as a collective right of community inhabitants. This</w:t>
      </w:r>
      <w:r>
        <w:rPr>
          <w:rFonts w:ascii="Trebuchet MS"/>
          <w:sz w:val="24"/>
          <w:szCs w:val="24"/>
          <w:lang w:val="en-US"/>
        </w:rPr>
        <w:t xml:space="preserve"> meant posing direct challenges to the oppressive structure. Though a bruising task, communities who had been abandoned and treated as sacrifice zones were willing to engage in this strategy, and their efforts have not only led to tangible gains but helped</w:t>
      </w:r>
      <w:r>
        <w:rPr>
          <w:rFonts w:ascii="Trebuchet MS"/>
          <w:sz w:val="24"/>
          <w:szCs w:val="24"/>
          <w:lang w:val="en-US"/>
        </w:rPr>
        <w:t xml:space="preserve"> expand the political imagination, as seen by a rising chorus calling for paradigm-shifting recognition of ecosystem rights, principled self-determination and the abolition of certain corporate property privileges.</w:t>
      </w:r>
    </w:p>
    <w:p w14:paraId="55A1F349" w14:textId="77777777" w:rsidR="00011774" w:rsidRDefault="00011774">
      <w:pPr>
        <w:pStyle w:val="BodyA"/>
        <w:spacing w:after="0" w:line="240" w:lineRule="auto"/>
        <w:rPr>
          <w:sz w:val="24"/>
          <w:szCs w:val="24"/>
        </w:rPr>
      </w:pPr>
    </w:p>
    <w:p w14:paraId="40FF1BA0" w14:textId="77777777" w:rsidR="00011774" w:rsidRDefault="00273939">
      <w:pPr>
        <w:pStyle w:val="BodyA"/>
        <w:spacing w:after="0" w:line="240" w:lineRule="auto"/>
        <w:rPr>
          <w:b/>
          <w:bCs/>
          <w:sz w:val="24"/>
          <w:szCs w:val="24"/>
        </w:rPr>
      </w:pPr>
      <w:r>
        <w:rPr>
          <w:b/>
          <w:bCs/>
          <w:sz w:val="24"/>
          <w:szCs w:val="24"/>
          <w:lang w:val="en-US"/>
        </w:rPr>
        <w:t xml:space="preserve">Legal Basis for Federal Denial of </w:t>
      </w:r>
      <w:r>
        <w:rPr>
          <w:b/>
          <w:bCs/>
          <w:sz w:val="24"/>
          <w:szCs w:val="24"/>
          <w:lang w:val="en-US"/>
        </w:rPr>
        <w:t>Local Democracy in the U.S.</w:t>
      </w:r>
    </w:p>
    <w:p w14:paraId="15D39661" w14:textId="77777777" w:rsidR="00011774" w:rsidRDefault="00011774">
      <w:pPr>
        <w:pStyle w:val="BodyA"/>
        <w:spacing w:after="0" w:line="240" w:lineRule="auto"/>
        <w:rPr>
          <w:sz w:val="24"/>
          <w:szCs w:val="24"/>
        </w:rPr>
      </w:pPr>
    </w:p>
    <w:p w14:paraId="713CC520" w14:textId="669F9FD2" w:rsidR="00011774" w:rsidRDefault="00273939">
      <w:pPr>
        <w:pStyle w:val="BodyA"/>
        <w:spacing w:after="0" w:line="240" w:lineRule="auto"/>
        <w:rPr>
          <w:sz w:val="24"/>
          <w:szCs w:val="24"/>
          <w:lang w:val="en-US"/>
        </w:rPr>
      </w:pPr>
      <w:r>
        <w:rPr>
          <w:rFonts w:ascii="Trebuchet MS"/>
          <w:sz w:val="24"/>
          <w:szCs w:val="24"/>
          <w:lang w:val="en-US"/>
        </w:rPr>
        <w:t>The U.S. federal constitution does not mention municipal governments, but that hasn</w:t>
      </w:r>
      <w:r>
        <w:rPr>
          <w:rFonts w:hAnsi="Trebuchet MS"/>
          <w:sz w:val="24"/>
          <w:szCs w:val="24"/>
          <w:lang w:val="en-US"/>
        </w:rPr>
        <w:t>’</w:t>
      </w:r>
      <w:r>
        <w:rPr>
          <w:rFonts w:ascii="Trebuchet MS"/>
          <w:sz w:val="24"/>
          <w:szCs w:val="24"/>
          <w:lang w:val="en-US"/>
        </w:rPr>
        <w:t xml:space="preserve">t stopped the judicial branch from hobbling </w:t>
      </w:r>
      <w:r>
        <w:rPr>
          <w:rFonts w:ascii="Trebuchet MS"/>
          <w:sz w:val="24"/>
          <w:szCs w:val="24"/>
          <w:lang w:val="en-US"/>
        </w:rPr>
        <w:t>cities</w:t>
      </w:r>
      <w:r>
        <w:rPr>
          <w:rFonts w:hAnsi="Trebuchet MS"/>
          <w:sz w:val="24"/>
          <w:szCs w:val="24"/>
          <w:lang w:val="en-US"/>
        </w:rPr>
        <w:t>’</w:t>
      </w:r>
      <w:r>
        <w:rPr>
          <w:rFonts w:ascii="Trebuchet MS"/>
          <w:sz w:val="24"/>
          <w:szCs w:val="24"/>
          <w:lang w:val="en-US"/>
        </w:rPr>
        <w:t xml:space="preserve"> power to be a source of political clout for the poor. The U.S. Supreme Court laid the </w:t>
      </w:r>
      <w:r>
        <w:rPr>
          <w:rFonts w:ascii="Trebuchet MS"/>
          <w:sz w:val="24"/>
          <w:szCs w:val="24"/>
          <w:lang w:val="en-US"/>
        </w:rPr>
        <w:t>groundwork for today</w:t>
      </w:r>
      <w:r>
        <w:rPr>
          <w:rFonts w:hAnsi="Trebuchet MS"/>
          <w:sz w:val="24"/>
          <w:szCs w:val="24"/>
          <w:lang w:val="en-US"/>
        </w:rPr>
        <w:t>’</w:t>
      </w:r>
      <w:r>
        <w:rPr>
          <w:rFonts w:ascii="Trebuchet MS"/>
          <w:sz w:val="24"/>
          <w:szCs w:val="24"/>
          <w:lang w:val="en-US"/>
        </w:rPr>
        <w:t xml:space="preserve">s suppression of redistributive and bold local governance in 1819. That year, Chief Justice John Marshall and Associate Justice Joseph Story invented a legal distinction between </w:t>
      </w:r>
      <w:r>
        <w:rPr>
          <w:rFonts w:hAnsi="Trebuchet MS"/>
          <w:sz w:val="24"/>
          <w:szCs w:val="24"/>
        </w:rPr>
        <w:t>“</w:t>
      </w:r>
      <w:r>
        <w:rPr>
          <w:rFonts w:ascii="Trebuchet MS"/>
          <w:sz w:val="24"/>
          <w:szCs w:val="24"/>
        </w:rPr>
        <w:t>private</w:t>
      </w:r>
      <w:r>
        <w:rPr>
          <w:rFonts w:hAnsi="Trebuchet MS"/>
          <w:sz w:val="24"/>
          <w:szCs w:val="24"/>
        </w:rPr>
        <w:t>”</w:t>
      </w:r>
      <w:r>
        <w:rPr>
          <w:rFonts w:ascii="Trebuchet MS"/>
          <w:sz w:val="24"/>
          <w:szCs w:val="24"/>
        </w:rPr>
        <w:t xml:space="preserve"> </w:t>
      </w:r>
      <w:r>
        <w:rPr>
          <w:rFonts w:ascii="Trebuchet MS"/>
          <w:sz w:val="24"/>
          <w:szCs w:val="24"/>
          <w:lang w:val="en-US"/>
        </w:rPr>
        <w:t xml:space="preserve">and </w:t>
      </w:r>
      <w:r>
        <w:rPr>
          <w:rFonts w:hAnsi="Trebuchet MS"/>
          <w:sz w:val="24"/>
          <w:szCs w:val="24"/>
        </w:rPr>
        <w:t>“</w:t>
      </w:r>
      <w:r>
        <w:rPr>
          <w:rFonts w:ascii="Trebuchet MS"/>
          <w:sz w:val="24"/>
          <w:szCs w:val="24"/>
        </w:rPr>
        <w:t>public</w:t>
      </w:r>
      <w:r>
        <w:rPr>
          <w:rFonts w:hAnsi="Trebuchet MS"/>
          <w:sz w:val="24"/>
          <w:szCs w:val="24"/>
        </w:rPr>
        <w:t>”</w:t>
      </w:r>
      <w:r>
        <w:rPr>
          <w:rFonts w:ascii="Trebuchet MS"/>
          <w:sz w:val="24"/>
          <w:szCs w:val="24"/>
        </w:rPr>
        <w:t xml:space="preserve"> </w:t>
      </w:r>
      <w:r>
        <w:rPr>
          <w:rFonts w:ascii="Trebuchet MS"/>
          <w:sz w:val="24"/>
          <w:szCs w:val="24"/>
          <w:lang w:val="en-US"/>
        </w:rPr>
        <w:t>corporations, as a side-note to th</w:t>
      </w:r>
      <w:r>
        <w:rPr>
          <w:rFonts w:ascii="Trebuchet MS"/>
          <w:sz w:val="24"/>
          <w:szCs w:val="24"/>
          <w:lang w:val="en-US"/>
        </w:rPr>
        <w:t xml:space="preserve">e infamous </w:t>
      </w:r>
      <w:r>
        <w:rPr>
          <w:i/>
          <w:iCs/>
          <w:sz w:val="24"/>
          <w:szCs w:val="24"/>
          <w:lang w:val="en-US"/>
        </w:rPr>
        <w:t>Dartmouth v. Woodward</w:t>
      </w:r>
      <w:r>
        <w:rPr>
          <w:rFonts w:ascii="Trebuchet MS"/>
          <w:sz w:val="24"/>
          <w:szCs w:val="24"/>
          <w:lang w:val="en-US"/>
        </w:rPr>
        <w:t xml:space="preserve"> decision. With no precedent to rely upon, the court redefined public </w:t>
      </w:r>
      <w:r>
        <w:rPr>
          <w:rFonts w:hAnsi="Trebuchet MS"/>
          <w:sz w:val="24"/>
          <w:szCs w:val="24"/>
          <w:lang w:val="en-US"/>
        </w:rPr>
        <w:t>—</w:t>
      </w:r>
      <w:r>
        <w:rPr>
          <w:rFonts w:hAnsi="Trebuchet MS"/>
          <w:sz w:val="24"/>
          <w:szCs w:val="24"/>
          <w:lang w:val="en-US"/>
        </w:rPr>
        <w:t xml:space="preserve"> </w:t>
      </w:r>
      <w:r>
        <w:rPr>
          <w:rFonts w:hAnsi="Trebuchet MS"/>
          <w:sz w:val="24"/>
          <w:szCs w:val="24"/>
          <w:lang w:val="en-US"/>
        </w:rPr>
        <w:t>“</w:t>
      </w:r>
      <w:r>
        <w:rPr>
          <w:rFonts w:ascii="Trebuchet MS"/>
          <w:sz w:val="24"/>
          <w:szCs w:val="24"/>
          <w:lang w:val="en-US"/>
        </w:rPr>
        <w:t>municipal corporations</w:t>
      </w:r>
      <w:r>
        <w:rPr>
          <w:rFonts w:hAnsi="Trebuchet MS"/>
          <w:sz w:val="24"/>
          <w:szCs w:val="24"/>
          <w:lang w:val="en-US"/>
        </w:rPr>
        <w:t>”</w:t>
      </w:r>
      <w:r>
        <w:rPr>
          <w:rFonts w:hAnsi="Trebuchet MS"/>
          <w:sz w:val="24"/>
          <w:szCs w:val="24"/>
          <w:lang w:val="en-US"/>
        </w:rPr>
        <w:t xml:space="preserve"> </w:t>
      </w:r>
      <w:r>
        <w:rPr>
          <w:rFonts w:hAnsi="Trebuchet MS"/>
          <w:sz w:val="24"/>
          <w:szCs w:val="24"/>
          <w:lang w:val="en-US"/>
        </w:rPr>
        <w:t>—</w:t>
      </w:r>
      <w:r>
        <w:rPr>
          <w:rFonts w:ascii="Trebuchet MS"/>
          <w:sz w:val="24"/>
          <w:szCs w:val="24"/>
          <w:lang w:val="en-US"/>
        </w:rPr>
        <w:t xml:space="preserve"> as extensions of state government having no incorporators and no legal agency independent of state authority. This maneuver w</w:t>
      </w:r>
      <w:r>
        <w:rPr>
          <w:rFonts w:ascii="Trebuchet MS"/>
          <w:sz w:val="24"/>
          <w:szCs w:val="24"/>
          <w:lang w:val="en-US"/>
        </w:rPr>
        <w:t xml:space="preserve">as accomplished while simultaneously redefining charters of incorporation for newly-minted </w:t>
      </w:r>
      <w:r>
        <w:rPr>
          <w:rFonts w:hAnsi="Trebuchet MS"/>
          <w:sz w:val="24"/>
          <w:szCs w:val="24"/>
        </w:rPr>
        <w:t>“</w:t>
      </w:r>
      <w:r>
        <w:rPr>
          <w:rFonts w:ascii="Trebuchet MS"/>
          <w:sz w:val="24"/>
          <w:szCs w:val="24"/>
        </w:rPr>
        <w:t>private</w:t>
      </w:r>
      <w:r>
        <w:rPr>
          <w:rFonts w:hAnsi="Trebuchet MS"/>
          <w:sz w:val="24"/>
          <w:szCs w:val="24"/>
        </w:rPr>
        <w:t>”</w:t>
      </w:r>
      <w:r>
        <w:rPr>
          <w:rFonts w:ascii="Trebuchet MS"/>
          <w:sz w:val="24"/>
          <w:szCs w:val="24"/>
        </w:rPr>
        <w:t xml:space="preserve"> </w:t>
      </w:r>
      <w:r>
        <w:rPr>
          <w:rFonts w:ascii="Trebuchet MS"/>
          <w:sz w:val="24"/>
          <w:szCs w:val="24"/>
          <w:lang w:val="en-US"/>
        </w:rPr>
        <w:t>business corporations as contracts between their incorporators and the incorporating state, under the auspices of the Constitution</w:t>
      </w:r>
      <w:r>
        <w:rPr>
          <w:rFonts w:hAnsi="Trebuchet MS"/>
          <w:sz w:val="24"/>
          <w:szCs w:val="24"/>
          <w:lang w:val="fr-FR"/>
        </w:rPr>
        <w:t>’</w:t>
      </w:r>
      <w:r>
        <w:rPr>
          <w:rFonts w:ascii="Trebuchet MS"/>
          <w:sz w:val="24"/>
          <w:szCs w:val="24"/>
          <w:lang w:val="en-US"/>
        </w:rPr>
        <w:t xml:space="preserve">s Contracts Clause. It was determined that so-called </w:t>
      </w:r>
      <w:r>
        <w:rPr>
          <w:rFonts w:hAnsi="Trebuchet MS"/>
          <w:sz w:val="24"/>
          <w:szCs w:val="24"/>
        </w:rPr>
        <w:t>“</w:t>
      </w:r>
      <w:r>
        <w:rPr>
          <w:rFonts w:ascii="Trebuchet MS"/>
          <w:sz w:val="24"/>
          <w:szCs w:val="24"/>
        </w:rPr>
        <w:t>public</w:t>
      </w:r>
      <w:r>
        <w:rPr>
          <w:rFonts w:hAnsi="Trebuchet MS"/>
          <w:sz w:val="24"/>
          <w:szCs w:val="24"/>
        </w:rPr>
        <w:t>”</w:t>
      </w:r>
      <w:r>
        <w:rPr>
          <w:rFonts w:ascii="Trebuchet MS"/>
          <w:sz w:val="24"/>
          <w:szCs w:val="24"/>
        </w:rPr>
        <w:t xml:space="preserve"> </w:t>
      </w:r>
      <w:r>
        <w:rPr>
          <w:rFonts w:ascii="Trebuchet MS"/>
          <w:sz w:val="24"/>
          <w:szCs w:val="24"/>
          <w:lang w:val="en-US"/>
        </w:rPr>
        <w:t>municipal corporations enjoyed no such contractual relationship with the state. As a result, public municipal corporations were subordinated while private corporations were elevated to the statu</w:t>
      </w:r>
      <w:r>
        <w:rPr>
          <w:rFonts w:ascii="Trebuchet MS"/>
          <w:sz w:val="24"/>
          <w:szCs w:val="24"/>
          <w:lang w:val="en-US"/>
        </w:rPr>
        <w:t xml:space="preserve">s of </w:t>
      </w:r>
      <w:r>
        <w:rPr>
          <w:rFonts w:ascii="Trebuchet MS"/>
          <w:sz w:val="24"/>
          <w:szCs w:val="24"/>
          <w:lang w:val="en-US"/>
        </w:rPr>
        <w:t xml:space="preserve">contractual </w:t>
      </w:r>
      <w:r>
        <w:rPr>
          <w:rFonts w:ascii="Trebuchet MS"/>
          <w:sz w:val="24"/>
          <w:szCs w:val="24"/>
          <w:lang w:val="en-US"/>
        </w:rPr>
        <w:t xml:space="preserve">equals to the states that chartered them. Unlike the </w:t>
      </w:r>
      <w:r w:rsidR="00FB0BF2">
        <w:rPr>
          <w:rFonts w:ascii="Trebuchet MS"/>
          <w:sz w:val="24"/>
          <w:szCs w:val="24"/>
          <w:lang w:val="en-US"/>
        </w:rPr>
        <w:t xml:space="preserve">status </w:t>
      </w:r>
      <w:r>
        <w:rPr>
          <w:rFonts w:ascii="Trebuchet MS"/>
          <w:sz w:val="24"/>
          <w:szCs w:val="24"/>
          <w:lang w:val="en-US"/>
        </w:rPr>
        <w:t xml:space="preserve">of corporate management and investors, the residents of municipalities were deemed to be </w:t>
      </w:r>
      <w:r>
        <w:rPr>
          <w:i/>
          <w:iCs/>
          <w:sz w:val="24"/>
          <w:szCs w:val="24"/>
          <w:lang w:val="en-US"/>
        </w:rPr>
        <w:t>mere tenants</w:t>
      </w:r>
      <w:r>
        <w:rPr>
          <w:rFonts w:ascii="Trebuchet MS"/>
          <w:sz w:val="24"/>
          <w:szCs w:val="24"/>
          <w:lang w:val="en-US"/>
        </w:rPr>
        <w:t xml:space="preserve"> living within the jurisdiction of a state-</w:t>
      </w:r>
      <w:r>
        <w:rPr>
          <w:rFonts w:ascii="Trebuchet MS"/>
          <w:sz w:val="24"/>
          <w:szCs w:val="24"/>
          <w:lang w:val="en-US"/>
        </w:rPr>
        <w:t>controlled</w:t>
      </w:r>
      <w:r>
        <w:rPr>
          <w:rFonts w:ascii="Trebuchet MS"/>
          <w:sz w:val="24"/>
          <w:szCs w:val="24"/>
          <w:lang w:val="en-US"/>
        </w:rPr>
        <w:t xml:space="preserve"> municipal corpor</w:t>
      </w:r>
      <w:r>
        <w:rPr>
          <w:rFonts w:ascii="Trebuchet MS"/>
          <w:sz w:val="24"/>
          <w:szCs w:val="24"/>
          <w:lang w:val="en-US"/>
        </w:rPr>
        <w:t>ation.</w:t>
      </w:r>
    </w:p>
    <w:p w14:paraId="43635E2D" w14:textId="77777777" w:rsidR="00011774" w:rsidRDefault="00011774">
      <w:pPr>
        <w:pStyle w:val="BodyA"/>
        <w:spacing w:after="0" w:line="240" w:lineRule="auto"/>
        <w:rPr>
          <w:sz w:val="24"/>
          <w:szCs w:val="24"/>
        </w:rPr>
      </w:pPr>
    </w:p>
    <w:p w14:paraId="5620C06F" w14:textId="32DE9DA1" w:rsidR="00011774" w:rsidRDefault="00273939">
      <w:pPr>
        <w:pStyle w:val="BodyA"/>
        <w:spacing w:after="0" w:line="240" w:lineRule="auto"/>
        <w:rPr>
          <w:sz w:val="24"/>
          <w:szCs w:val="24"/>
        </w:rPr>
      </w:pPr>
      <w:r>
        <w:rPr>
          <w:rFonts w:ascii="Trebuchet MS"/>
          <w:sz w:val="24"/>
          <w:szCs w:val="24"/>
          <w:lang w:val="en-US"/>
        </w:rPr>
        <w:t xml:space="preserve">The </w:t>
      </w:r>
      <w:r>
        <w:rPr>
          <w:i/>
          <w:iCs/>
          <w:sz w:val="24"/>
          <w:szCs w:val="24"/>
          <w:lang w:val="en-US"/>
        </w:rPr>
        <w:t>Dartmouth</w:t>
      </w:r>
      <w:r>
        <w:rPr>
          <w:rFonts w:ascii="Trebuchet MS"/>
          <w:sz w:val="24"/>
          <w:szCs w:val="24"/>
          <w:lang w:val="en-US"/>
        </w:rPr>
        <w:t xml:space="preserve"> decision languished until the Civil War, when politics shifted. At this time, the ruling was reinvigorated as part of a multi-pronged legal movement that resulted in the protection of overwhelmingly white-controlled corporate property</w:t>
      </w:r>
      <w:r>
        <w:rPr>
          <w:rFonts w:ascii="Trebuchet MS"/>
          <w:sz w:val="24"/>
          <w:szCs w:val="24"/>
          <w:lang w:val="en-US"/>
        </w:rPr>
        <w:t xml:space="preserve"> from redistribution during</w:t>
      </w:r>
      <w:r>
        <w:rPr>
          <w:rFonts w:ascii="Trebuchet MS"/>
          <w:sz w:val="24"/>
          <w:szCs w:val="24"/>
          <w:lang w:val="en-US"/>
        </w:rPr>
        <w:t xml:space="preserve"> and after</w:t>
      </w:r>
      <w:r>
        <w:rPr>
          <w:rFonts w:ascii="Trebuchet MS"/>
          <w:sz w:val="24"/>
          <w:szCs w:val="24"/>
          <w:lang w:val="en-US"/>
        </w:rPr>
        <w:t xml:space="preserve"> the Reconstruction Era. During this period </w:t>
      </w:r>
      <w:r>
        <w:rPr>
          <w:rFonts w:ascii="Trebuchet MS"/>
          <w:i/>
          <w:iCs/>
          <w:sz w:val="24"/>
          <w:szCs w:val="24"/>
          <w:lang w:val="en-US"/>
        </w:rPr>
        <w:t>Dartmouth</w:t>
      </w:r>
      <w:r>
        <w:rPr>
          <w:rFonts w:ascii="Trebuchet MS"/>
          <w:sz w:val="24"/>
          <w:szCs w:val="24"/>
        </w:rPr>
        <w:t xml:space="preserve"> </w:t>
      </w:r>
      <w:r>
        <w:rPr>
          <w:rFonts w:ascii="Trebuchet MS"/>
          <w:sz w:val="24"/>
          <w:szCs w:val="24"/>
          <w:lang w:val="en-US"/>
        </w:rPr>
        <w:t xml:space="preserve">was applied to materially protect railroad and mining corporations. In </w:t>
      </w:r>
      <w:r>
        <w:rPr>
          <w:rFonts w:ascii="Trebuchet MS"/>
          <w:sz w:val="24"/>
          <w:szCs w:val="24"/>
          <w:lang w:val="en-US"/>
        </w:rPr>
        <w:lastRenderedPageBreak/>
        <w:t>1868, a railroad lawyer appointed to the Iowa Supreme Court, John Forest Dillon, spelled out w</w:t>
      </w:r>
      <w:r>
        <w:rPr>
          <w:rFonts w:ascii="Trebuchet MS"/>
          <w:sz w:val="24"/>
          <w:szCs w:val="24"/>
          <w:lang w:val="en-US"/>
        </w:rPr>
        <w:t xml:space="preserve">hat </w:t>
      </w:r>
      <w:r>
        <w:rPr>
          <w:i/>
          <w:iCs/>
          <w:sz w:val="24"/>
          <w:szCs w:val="24"/>
          <w:lang w:val="en-US"/>
        </w:rPr>
        <w:t>Dartmouth</w:t>
      </w:r>
      <w:r>
        <w:rPr>
          <w:rFonts w:ascii="Trebuchet MS"/>
          <w:sz w:val="24"/>
          <w:szCs w:val="24"/>
          <w:lang w:val="en-US"/>
        </w:rPr>
        <w:t xml:space="preserve"> had tentatively accomplished for the propertied class. In </w:t>
      </w:r>
      <w:r>
        <w:rPr>
          <w:i/>
          <w:iCs/>
          <w:sz w:val="24"/>
          <w:szCs w:val="24"/>
          <w:lang w:val="en-US"/>
        </w:rPr>
        <w:t>City of Clinton v. Cedar Rapids and Missouri River Rail Road Company</w:t>
      </w:r>
      <w:r>
        <w:rPr>
          <w:rFonts w:ascii="Trebuchet MS"/>
          <w:sz w:val="24"/>
          <w:szCs w:val="24"/>
          <w:lang w:val="en-US"/>
        </w:rPr>
        <w:t xml:space="preserve">, he revived </w:t>
      </w:r>
      <w:r>
        <w:rPr>
          <w:rFonts w:ascii="Trebuchet MS"/>
          <w:i/>
          <w:iCs/>
          <w:sz w:val="24"/>
          <w:szCs w:val="24"/>
          <w:lang w:val="en-US"/>
        </w:rPr>
        <w:t>Dartmouth</w:t>
      </w:r>
      <w:r>
        <w:rPr>
          <w:rFonts w:ascii="Trebuchet MS"/>
          <w:sz w:val="24"/>
          <w:szCs w:val="24"/>
          <w:lang w:val="en-US"/>
        </w:rPr>
        <w:t xml:space="preserve"> with a ruling that protected a railroad corporation from having to comply with local law-maki</w:t>
      </w:r>
      <w:r>
        <w:rPr>
          <w:rFonts w:ascii="Trebuchet MS"/>
          <w:sz w:val="24"/>
          <w:szCs w:val="24"/>
          <w:lang w:val="en-US"/>
        </w:rPr>
        <w:t>ng. He summarized his opinion years later in a legal treatise,</w:t>
      </w:r>
      <w:r>
        <w:rPr>
          <w:rFonts w:ascii="Trebuchet MS"/>
          <w:sz w:val="24"/>
          <w:szCs w:val="24"/>
        </w:rPr>
        <w:t xml:space="preserve"> </w:t>
      </w:r>
      <w:r>
        <w:rPr>
          <w:rFonts w:ascii="Trebuchet MS"/>
          <w:sz w:val="24"/>
          <w:szCs w:val="24"/>
          <w:lang w:val="en-US"/>
        </w:rPr>
        <w:t>writing</w:t>
      </w:r>
      <w:r>
        <w:rPr>
          <w:rFonts w:ascii="Trebuchet MS"/>
          <w:sz w:val="24"/>
          <w:szCs w:val="24"/>
        </w:rPr>
        <w:t xml:space="preserve">: </w:t>
      </w:r>
      <w:r>
        <w:rPr>
          <w:rFonts w:hAnsi="Trebuchet MS"/>
          <w:sz w:val="24"/>
          <w:szCs w:val="24"/>
        </w:rPr>
        <w:t>“</w:t>
      </w:r>
      <w:r>
        <w:rPr>
          <w:rFonts w:ascii="Trebuchet MS"/>
          <w:sz w:val="24"/>
          <w:szCs w:val="24"/>
          <w:lang w:val="en-US"/>
        </w:rPr>
        <w:t xml:space="preserve">the great weight of authority denies </w:t>
      </w:r>
      <w:r>
        <w:rPr>
          <w:i/>
          <w:iCs/>
          <w:sz w:val="24"/>
          <w:szCs w:val="24"/>
          <w:lang w:val="nl-NL"/>
        </w:rPr>
        <w:t>in toto</w:t>
      </w:r>
      <w:r>
        <w:rPr>
          <w:rFonts w:ascii="Trebuchet MS"/>
          <w:sz w:val="24"/>
          <w:szCs w:val="24"/>
          <w:lang w:val="en-US"/>
        </w:rPr>
        <w:t xml:space="preserve"> the existence, in the absence of special constitutional provisions, of any inherent right of local self-government which is beyond [state]</w:t>
      </w:r>
      <w:r>
        <w:rPr>
          <w:rFonts w:ascii="Trebuchet MS"/>
          <w:sz w:val="24"/>
          <w:szCs w:val="24"/>
          <w:lang w:val="en-US"/>
        </w:rPr>
        <w:t xml:space="preserve"> </w:t>
      </w:r>
      <w:r>
        <w:rPr>
          <w:rFonts w:ascii="Trebuchet MS"/>
          <w:sz w:val="24"/>
          <w:szCs w:val="24"/>
        </w:rPr>
        <w:t>legislative control.</w:t>
      </w:r>
      <w:r>
        <w:rPr>
          <w:rFonts w:hAnsi="Trebuchet MS"/>
          <w:sz w:val="24"/>
          <w:szCs w:val="24"/>
        </w:rPr>
        <w:t>”</w:t>
      </w:r>
      <w:r>
        <w:rPr>
          <w:rFonts w:ascii="Times New Roman" w:eastAsia="Times New Roman" w:hAnsi="Times New Roman" w:cs="Times New Roman"/>
          <w:sz w:val="24"/>
          <w:szCs w:val="24"/>
          <w:vertAlign w:val="superscript"/>
        </w:rPr>
        <w:footnoteReference w:id="12"/>
      </w:r>
      <w:r>
        <w:rPr>
          <w:rFonts w:ascii="Trebuchet MS"/>
          <w:sz w:val="24"/>
          <w:szCs w:val="24"/>
        </w:rPr>
        <w:t xml:space="preserve"> This </w:t>
      </w:r>
      <w:r>
        <w:rPr>
          <w:rFonts w:ascii="Trebuchet MS"/>
          <w:i/>
          <w:iCs/>
          <w:sz w:val="24"/>
          <w:szCs w:val="24"/>
        </w:rPr>
        <w:t>Dillon</w:t>
      </w:r>
      <w:r>
        <w:rPr>
          <w:rFonts w:hAnsi="Trebuchet MS"/>
          <w:i/>
          <w:iCs/>
          <w:sz w:val="24"/>
          <w:szCs w:val="24"/>
        </w:rPr>
        <w:t>’</w:t>
      </w:r>
      <w:r>
        <w:rPr>
          <w:rFonts w:ascii="Trebuchet MS"/>
          <w:i/>
          <w:iCs/>
          <w:sz w:val="24"/>
          <w:szCs w:val="24"/>
        </w:rPr>
        <w:t>s Rule</w:t>
      </w:r>
      <w:r>
        <w:rPr>
          <w:rFonts w:ascii="Trebuchet MS"/>
          <w:sz w:val="24"/>
          <w:szCs w:val="24"/>
        </w:rPr>
        <w:t xml:space="preserve"> has been cited by courts, state governments and proponents of state emergency management to justify the nullification of local labor contracts, minimum wage increases, worker benefits, environmental protections and tenant protections throughout the 20th a</w:t>
      </w:r>
      <w:r>
        <w:rPr>
          <w:rFonts w:ascii="Trebuchet MS"/>
          <w:sz w:val="24"/>
          <w:szCs w:val="24"/>
        </w:rPr>
        <w:t>nd 21st century.</w:t>
      </w:r>
      <w:r>
        <w:rPr>
          <w:rFonts w:ascii="Trebuchet MS"/>
          <w:sz w:val="24"/>
          <w:szCs w:val="24"/>
        </w:rPr>
        <w:t xml:space="preserve"> It was spun as a mechanism to protect against local corruption, which played directly into racist tropes of local Black electoral activism following emancipation.</w:t>
      </w:r>
    </w:p>
    <w:p w14:paraId="4183453B" w14:textId="77777777" w:rsidR="00011774" w:rsidRDefault="00273939">
      <w:pPr>
        <w:pStyle w:val="BodyA"/>
        <w:tabs>
          <w:tab w:val="left" w:pos="7245"/>
        </w:tabs>
        <w:spacing w:after="0" w:line="240" w:lineRule="auto"/>
        <w:rPr>
          <w:sz w:val="24"/>
          <w:szCs w:val="24"/>
        </w:rPr>
      </w:pPr>
      <w:r>
        <w:rPr>
          <w:sz w:val="24"/>
          <w:szCs w:val="24"/>
        </w:rPr>
        <w:tab/>
      </w:r>
    </w:p>
    <w:p w14:paraId="6403B948" w14:textId="77777777" w:rsidR="00011774" w:rsidRDefault="00273939">
      <w:pPr>
        <w:pStyle w:val="BodyA"/>
        <w:spacing w:after="0" w:line="240" w:lineRule="auto"/>
        <w:rPr>
          <w:sz w:val="24"/>
          <w:szCs w:val="24"/>
        </w:rPr>
      </w:pPr>
      <w:r>
        <w:rPr>
          <w:rFonts w:ascii="Trebuchet MS"/>
          <w:sz w:val="24"/>
          <w:szCs w:val="24"/>
          <w:lang w:val="en-US"/>
        </w:rPr>
        <w:t>Federal constitutionalism further restricts community self-determination b</w:t>
      </w:r>
      <w:r>
        <w:rPr>
          <w:rFonts w:ascii="Trebuchet MS"/>
          <w:sz w:val="24"/>
          <w:szCs w:val="24"/>
          <w:lang w:val="en-US"/>
        </w:rPr>
        <w:t>y way of the U.S. Constitution</w:t>
      </w:r>
      <w:r>
        <w:rPr>
          <w:rFonts w:hAnsi="Trebuchet MS"/>
          <w:sz w:val="24"/>
          <w:szCs w:val="24"/>
          <w:lang w:val="fr-FR"/>
        </w:rPr>
        <w:t>’</w:t>
      </w:r>
      <w:r>
        <w:rPr>
          <w:rFonts w:ascii="Trebuchet MS"/>
          <w:sz w:val="24"/>
          <w:szCs w:val="24"/>
          <w:lang w:val="fr-FR"/>
        </w:rPr>
        <w:t xml:space="preserve">s Commerce Clause. </w:t>
      </w:r>
      <w:r>
        <w:rPr>
          <w:rFonts w:ascii="Trebuchet MS"/>
          <w:sz w:val="24"/>
          <w:szCs w:val="24"/>
          <w:lang w:val="en-US"/>
        </w:rPr>
        <w:t xml:space="preserve">In short, local lawmaking that challenges profiteering is extremely vulnerable to being overturned by courts for </w:t>
      </w:r>
      <w:r>
        <w:rPr>
          <w:rFonts w:hAnsi="Trebuchet MS"/>
          <w:sz w:val="24"/>
          <w:szCs w:val="24"/>
          <w:lang w:val="en-US"/>
        </w:rPr>
        <w:t>“</w:t>
      </w:r>
      <w:r>
        <w:rPr>
          <w:rFonts w:ascii="Trebuchet MS"/>
          <w:sz w:val="24"/>
          <w:szCs w:val="24"/>
          <w:lang w:val="en-US"/>
        </w:rPr>
        <w:t>interfering</w:t>
      </w:r>
      <w:r>
        <w:rPr>
          <w:rFonts w:hAnsi="Trebuchet MS"/>
          <w:sz w:val="24"/>
          <w:szCs w:val="24"/>
          <w:lang w:val="en-US"/>
        </w:rPr>
        <w:t>”</w:t>
      </w:r>
      <w:r>
        <w:rPr>
          <w:rFonts w:ascii="Trebuchet MS"/>
          <w:sz w:val="24"/>
          <w:szCs w:val="24"/>
          <w:lang w:val="en-US"/>
        </w:rPr>
        <w:t xml:space="preserve"> in commerce</w:t>
      </w:r>
      <w:r>
        <w:rPr>
          <w:rFonts w:ascii="Times New Roman" w:eastAsia="Times New Roman" w:hAnsi="Times New Roman" w:cs="Times New Roman"/>
          <w:sz w:val="24"/>
          <w:szCs w:val="24"/>
          <w:vertAlign w:val="superscript"/>
        </w:rPr>
        <w:footnoteReference w:id="13"/>
      </w:r>
      <w:r>
        <w:rPr>
          <w:rFonts w:ascii="Trebuchet MS"/>
          <w:sz w:val="24"/>
          <w:szCs w:val="24"/>
          <w:lang w:val="en-US"/>
        </w:rPr>
        <w:t xml:space="preserve">. This </w:t>
      </w:r>
      <w:r>
        <w:rPr>
          <w:rFonts w:ascii="Trebuchet MS"/>
          <w:sz w:val="24"/>
          <w:szCs w:val="24"/>
          <w:lang w:val="en-US"/>
        </w:rPr>
        <w:t xml:space="preserve">same </w:t>
      </w:r>
      <w:r>
        <w:rPr>
          <w:rFonts w:ascii="Trebuchet MS"/>
          <w:sz w:val="24"/>
          <w:szCs w:val="24"/>
          <w:lang w:val="en-US"/>
        </w:rPr>
        <w:t xml:space="preserve">Commerce Clause was instrumental to establishing a legal foundation for the continent-spanning empire coveted by the U.S. </w:t>
      </w:r>
      <w:r>
        <w:rPr>
          <w:rFonts w:hAnsi="Trebuchet MS"/>
          <w:sz w:val="24"/>
          <w:szCs w:val="24"/>
          <w:lang w:val="en-US"/>
        </w:rPr>
        <w:t>“</w:t>
      </w:r>
      <w:r>
        <w:rPr>
          <w:rFonts w:ascii="Trebuchet MS"/>
          <w:sz w:val="24"/>
          <w:szCs w:val="24"/>
          <w:lang w:val="en-US"/>
        </w:rPr>
        <w:t>Founding Fathers.</w:t>
      </w:r>
      <w:r>
        <w:rPr>
          <w:rFonts w:hAnsi="Trebuchet MS"/>
          <w:sz w:val="24"/>
          <w:szCs w:val="24"/>
          <w:lang w:val="en-US"/>
        </w:rPr>
        <w:t>”</w:t>
      </w:r>
    </w:p>
    <w:p w14:paraId="7DE7D89E" w14:textId="77777777" w:rsidR="00011774" w:rsidRDefault="00011774">
      <w:pPr>
        <w:pStyle w:val="BodyA"/>
        <w:spacing w:after="0" w:line="240" w:lineRule="auto"/>
        <w:rPr>
          <w:sz w:val="24"/>
          <w:szCs w:val="24"/>
        </w:rPr>
      </w:pPr>
    </w:p>
    <w:p w14:paraId="426E20F5" w14:textId="77777777" w:rsidR="00011774" w:rsidRDefault="00273939">
      <w:pPr>
        <w:pStyle w:val="BodyA"/>
        <w:spacing w:after="0" w:line="240" w:lineRule="auto"/>
        <w:rPr>
          <w:sz w:val="24"/>
          <w:szCs w:val="24"/>
        </w:rPr>
      </w:pPr>
      <w:r>
        <w:rPr>
          <w:rFonts w:ascii="Trebuchet MS"/>
          <w:sz w:val="24"/>
          <w:szCs w:val="24"/>
          <w:lang w:val="en-US"/>
        </w:rPr>
        <w:t>In 1886, a time defined by backlash to emancipation of enslaved people and popular demands for radical redistribu</w:t>
      </w:r>
      <w:r>
        <w:rPr>
          <w:rFonts w:ascii="Trebuchet MS"/>
          <w:sz w:val="24"/>
          <w:szCs w:val="24"/>
          <w:lang w:val="en-US"/>
        </w:rPr>
        <w:t>tion following the Civil War,</w:t>
      </w:r>
      <w:r>
        <w:rPr>
          <w:rFonts w:ascii="Trebuchet MS"/>
          <w:sz w:val="24"/>
          <w:szCs w:val="24"/>
        </w:rPr>
        <w:t xml:space="preserve"> </w:t>
      </w:r>
      <w:r>
        <w:rPr>
          <w:rFonts w:ascii="Trebuchet MS"/>
          <w:sz w:val="24"/>
          <w:szCs w:val="24"/>
          <w:lang w:val="en-US"/>
        </w:rPr>
        <w:t>Chief Justice Morrison Waite</w:t>
      </w:r>
      <w:r>
        <w:rPr>
          <w:rFonts w:hAnsi="Trebuchet MS"/>
          <w:sz w:val="24"/>
          <w:szCs w:val="24"/>
          <w:lang w:val="fr-FR"/>
        </w:rPr>
        <w:t>’</w:t>
      </w:r>
      <w:r>
        <w:rPr>
          <w:rFonts w:ascii="Trebuchet MS"/>
          <w:sz w:val="24"/>
          <w:szCs w:val="24"/>
          <w:lang w:val="en-US"/>
        </w:rPr>
        <w:t xml:space="preserve">s Court decision in </w:t>
      </w:r>
      <w:r>
        <w:rPr>
          <w:i/>
          <w:iCs/>
          <w:sz w:val="24"/>
          <w:szCs w:val="24"/>
          <w:lang w:val="en-US"/>
        </w:rPr>
        <w:t>Santa Clara County v. Southern Pacific Railroad</w:t>
      </w:r>
      <w:r>
        <w:rPr>
          <w:rFonts w:ascii="Trebuchet MS"/>
          <w:sz w:val="24"/>
          <w:szCs w:val="24"/>
        </w:rPr>
        <w:t xml:space="preserve"> </w:t>
      </w:r>
      <w:r>
        <w:rPr>
          <w:rFonts w:ascii="Trebuchet MS"/>
          <w:sz w:val="24"/>
          <w:szCs w:val="24"/>
          <w:lang w:val="en-US"/>
        </w:rPr>
        <w:t>reaffirmed legal protections for corporate (predominately white-controlled) property by extending</w:t>
      </w:r>
      <w:r>
        <w:rPr>
          <w:rFonts w:ascii="Trebuchet MS"/>
          <w:sz w:val="24"/>
          <w:szCs w:val="24"/>
        </w:rPr>
        <w:t xml:space="preserve"> legal person</w:t>
      </w:r>
      <w:r>
        <w:rPr>
          <w:rFonts w:ascii="Trebuchet MS"/>
          <w:sz w:val="24"/>
          <w:szCs w:val="24"/>
          <w:lang w:val="en-US"/>
        </w:rPr>
        <w:t>hood</w:t>
      </w:r>
      <w:r>
        <w:rPr>
          <w:rFonts w:ascii="Trebuchet MS"/>
          <w:sz w:val="24"/>
          <w:szCs w:val="24"/>
        </w:rPr>
        <w:t xml:space="preserve"> </w:t>
      </w:r>
      <w:r>
        <w:rPr>
          <w:rFonts w:ascii="Trebuchet MS"/>
          <w:sz w:val="24"/>
          <w:szCs w:val="24"/>
          <w:lang w:val="en-US"/>
        </w:rPr>
        <w:t xml:space="preserve">status, </w:t>
      </w:r>
      <w:r>
        <w:rPr>
          <w:rFonts w:ascii="Trebuchet MS"/>
          <w:sz w:val="24"/>
          <w:szCs w:val="24"/>
          <w:lang w:val="en-US"/>
        </w:rPr>
        <w:t>with Bill of Rights protections, to corporate property. After suffrage was expanded for previously enslaved African American men, the court jumped to the defense of corporate property, further insulating it from democratic activism.</w:t>
      </w:r>
    </w:p>
    <w:p w14:paraId="15F31EB7" w14:textId="77777777" w:rsidR="00011774" w:rsidRDefault="00011774">
      <w:pPr>
        <w:pStyle w:val="BodyA"/>
        <w:spacing w:after="0" w:line="240" w:lineRule="auto"/>
        <w:rPr>
          <w:sz w:val="24"/>
          <w:szCs w:val="24"/>
        </w:rPr>
      </w:pPr>
    </w:p>
    <w:p w14:paraId="2AEDFF70" w14:textId="3F72284A" w:rsidR="00011774" w:rsidRDefault="00273939">
      <w:pPr>
        <w:pStyle w:val="BodyA"/>
        <w:spacing w:after="0" w:line="240" w:lineRule="auto"/>
        <w:rPr>
          <w:sz w:val="24"/>
          <w:szCs w:val="24"/>
        </w:rPr>
      </w:pPr>
      <w:r>
        <w:rPr>
          <w:rFonts w:ascii="Trebuchet MS"/>
          <w:sz w:val="24"/>
          <w:szCs w:val="24"/>
          <w:lang w:val="en-US"/>
        </w:rPr>
        <w:t>Such legal doctrines c</w:t>
      </w:r>
      <w:r>
        <w:rPr>
          <w:rFonts w:ascii="Trebuchet MS"/>
          <w:sz w:val="24"/>
          <w:szCs w:val="24"/>
          <w:lang w:val="en-US"/>
        </w:rPr>
        <w:t xml:space="preserve">ontinue to obstruct forms of liberatory activism envisioned by the global municipalist movement. The judicially-engineered ascendency of corporate power, coupled with the subordination of so-called </w:t>
      </w:r>
      <w:r>
        <w:rPr>
          <w:rFonts w:ascii="Trebuchet MS"/>
          <w:sz w:val="24"/>
          <w:szCs w:val="24"/>
          <w:lang w:val="en-US"/>
        </w:rPr>
        <w:t>municipal corporations, continues</w:t>
      </w:r>
      <w:r>
        <w:rPr>
          <w:rFonts w:ascii="Times New Roman" w:eastAsia="Times New Roman" w:hAnsi="Times New Roman" w:cs="Times New Roman"/>
          <w:sz w:val="24"/>
          <w:szCs w:val="24"/>
          <w:vertAlign w:val="superscript"/>
          <w:lang w:val="en-US"/>
        </w:rPr>
        <w:footnoteReference w:id="14"/>
      </w:r>
      <w:r>
        <w:rPr>
          <w:rFonts w:ascii="Trebuchet MS"/>
          <w:sz w:val="24"/>
          <w:szCs w:val="24"/>
          <w:lang w:val="en-US"/>
        </w:rPr>
        <w:t xml:space="preserve"> to constrain mo</w:t>
      </w:r>
      <w:r>
        <w:rPr>
          <w:rFonts w:ascii="Trebuchet MS"/>
          <w:sz w:val="24"/>
          <w:szCs w:val="24"/>
          <w:lang w:val="en-US"/>
        </w:rPr>
        <w:t>dern fights for environmental and racial justice.</w:t>
      </w:r>
    </w:p>
    <w:p w14:paraId="076D44EE" w14:textId="77777777" w:rsidR="00011774" w:rsidRDefault="00011774">
      <w:pPr>
        <w:pStyle w:val="BodyA"/>
        <w:spacing w:after="0" w:line="240" w:lineRule="auto"/>
        <w:rPr>
          <w:sz w:val="24"/>
          <w:szCs w:val="24"/>
        </w:rPr>
      </w:pPr>
    </w:p>
    <w:p w14:paraId="05FA1EC1" w14:textId="77777777" w:rsidR="00011774" w:rsidRDefault="00011774">
      <w:pPr>
        <w:pStyle w:val="BodyA"/>
        <w:spacing w:after="0" w:line="240" w:lineRule="auto"/>
        <w:rPr>
          <w:b/>
          <w:bCs/>
          <w:sz w:val="24"/>
          <w:szCs w:val="24"/>
        </w:rPr>
      </w:pPr>
    </w:p>
    <w:p w14:paraId="677A7FBE" w14:textId="77777777" w:rsidR="00011774" w:rsidRDefault="00273939">
      <w:pPr>
        <w:pStyle w:val="BodyA"/>
        <w:spacing w:after="0"/>
        <w:jc w:val="center"/>
        <w:rPr>
          <w:b/>
          <w:bCs/>
          <w:sz w:val="24"/>
          <w:szCs w:val="24"/>
        </w:rPr>
      </w:pPr>
      <w:r>
        <w:rPr>
          <w:b/>
          <w:bCs/>
          <w:sz w:val="24"/>
          <w:szCs w:val="24"/>
          <w:lang w:val="en-US"/>
        </w:rPr>
        <w:t>Centralized Control Over</w:t>
      </w:r>
      <w:r>
        <w:rPr>
          <w:b/>
          <w:bCs/>
          <w:sz w:val="24"/>
          <w:szCs w:val="24"/>
        </w:rPr>
        <w:t xml:space="preserve"> Municipal </w:t>
      </w:r>
      <w:r>
        <w:rPr>
          <w:b/>
          <w:bCs/>
          <w:sz w:val="24"/>
          <w:szCs w:val="24"/>
          <w:lang w:val="en-US"/>
        </w:rPr>
        <w:t>Activism in the U.S.</w:t>
      </w:r>
    </w:p>
    <w:p w14:paraId="61838D9D" w14:textId="77777777" w:rsidR="00011774" w:rsidRDefault="00273939">
      <w:pPr>
        <w:pStyle w:val="BodyA"/>
        <w:spacing w:after="0"/>
        <w:rPr>
          <w:sz w:val="24"/>
          <w:szCs w:val="24"/>
        </w:rPr>
      </w:pPr>
      <w:r>
        <w:rPr>
          <w:b/>
          <w:bCs/>
          <w:sz w:val="24"/>
          <w:szCs w:val="24"/>
          <w:lang w:val="en-US"/>
        </w:rPr>
        <w:lastRenderedPageBreak/>
        <w:t>“</w:t>
      </w:r>
      <w:r>
        <w:rPr>
          <w:i/>
          <w:iCs/>
          <w:sz w:val="24"/>
          <w:szCs w:val="24"/>
          <w:lang w:val="en-US"/>
        </w:rPr>
        <w:t>. . . restrictions upon the powers of cities indicate a fear that too much local self-government might jeopardize the interests of the propertied c</w:t>
      </w:r>
      <w:r>
        <w:rPr>
          <w:i/>
          <w:iCs/>
          <w:sz w:val="24"/>
          <w:szCs w:val="24"/>
          <w:lang w:val="en-US"/>
        </w:rPr>
        <w:t>lasses. This attitude on the part of those who have framed and interpreted our state constitutions is merely an expression of that distrust of majority rule which is . . . the distinguishing feature of the American system of government. It is in the cities</w:t>
      </w:r>
      <w:r>
        <w:rPr>
          <w:i/>
          <w:iCs/>
          <w:sz w:val="24"/>
          <w:szCs w:val="24"/>
          <w:lang w:val="en-US"/>
        </w:rPr>
        <w:t xml:space="preserve"> that the non-possessing classes are numerically strongest and the inequality in the distribution of wealth most pronounced. This largely explains the reluctance of the state to allow cities a free hand in the management of local affairs. . .. Every attemp</w:t>
      </w:r>
      <w:r>
        <w:rPr>
          <w:i/>
          <w:iCs/>
          <w:sz w:val="24"/>
          <w:szCs w:val="24"/>
          <w:lang w:val="en-US"/>
        </w:rPr>
        <w:t>t to reform this system must encounter the opposition of the property-owning class, which is one of the chief reasons why all efforts to establish municipal self-government have thus far largely failed.</w:t>
      </w:r>
      <w:r>
        <w:rPr>
          <w:i/>
          <w:iCs/>
          <w:sz w:val="24"/>
          <w:szCs w:val="24"/>
          <w:vertAlign w:val="superscript"/>
        </w:rPr>
        <w:footnoteReference w:id="15"/>
      </w:r>
      <w:r>
        <w:rPr>
          <w:i/>
          <w:iCs/>
          <w:sz w:val="24"/>
          <w:szCs w:val="24"/>
          <w:lang w:val="en-US"/>
        </w:rPr>
        <w:t>” -</w:t>
      </w:r>
      <w:r>
        <w:rPr>
          <w:rFonts w:ascii="Trebuchet MS"/>
          <w:sz w:val="24"/>
          <w:szCs w:val="24"/>
          <w:lang w:val="en-US"/>
        </w:rPr>
        <w:t>J. Allen Smith</w:t>
      </w:r>
    </w:p>
    <w:p w14:paraId="0EDCA7F7" w14:textId="77777777" w:rsidR="00011774" w:rsidRDefault="00011774">
      <w:pPr>
        <w:pStyle w:val="BodyA"/>
        <w:spacing w:after="0"/>
        <w:rPr>
          <w:sz w:val="24"/>
          <w:szCs w:val="24"/>
        </w:rPr>
      </w:pPr>
    </w:p>
    <w:p w14:paraId="42245FBC" w14:textId="77777777" w:rsidR="00011774" w:rsidRDefault="00011774">
      <w:pPr>
        <w:pStyle w:val="BodyA"/>
        <w:spacing w:after="0"/>
        <w:rPr>
          <w:b/>
          <w:bCs/>
          <w:sz w:val="24"/>
          <w:szCs w:val="24"/>
        </w:rPr>
      </w:pPr>
    </w:p>
    <w:p w14:paraId="08798132" w14:textId="77777777" w:rsidR="00011774" w:rsidRDefault="00273939">
      <w:pPr>
        <w:pStyle w:val="BodyA"/>
        <w:spacing w:after="0"/>
        <w:rPr>
          <w:sz w:val="24"/>
          <w:szCs w:val="24"/>
        </w:rPr>
      </w:pPr>
      <w:r>
        <w:rPr>
          <w:rFonts w:ascii="Trebuchet MS"/>
          <w:sz w:val="24"/>
          <w:szCs w:val="24"/>
          <w:lang w:val="en-US"/>
        </w:rPr>
        <w:t xml:space="preserve">Any minimally democratic system </w:t>
      </w:r>
      <w:r>
        <w:rPr>
          <w:rFonts w:ascii="Trebuchet MS"/>
          <w:sz w:val="24"/>
          <w:szCs w:val="24"/>
          <w:lang w:val="en-US"/>
        </w:rPr>
        <w:t>would contain space for local activism. Many people in the United States think there are some inherent powers for communities to raise state's minimum standards. Instead, the opposite is true.</w:t>
      </w:r>
      <w:r>
        <w:rPr>
          <w:rFonts w:ascii="Trebuchet MS"/>
          <w:sz w:val="24"/>
          <w:szCs w:val="24"/>
        </w:rPr>
        <w:t xml:space="preserve"> </w:t>
      </w:r>
      <w:r>
        <w:rPr>
          <w:rFonts w:ascii="Trebuchet MS"/>
          <w:sz w:val="24"/>
          <w:szCs w:val="24"/>
          <w:lang w:val="en-US"/>
        </w:rPr>
        <w:t>Rather than setting minimum standards of social and environment</w:t>
      </w:r>
      <w:r>
        <w:rPr>
          <w:rFonts w:ascii="Trebuchet MS"/>
          <w:sz w:val="24"/>
          <w:szCs w:val="24"/>
          <w:lang w:val="en-US"/>
        </w:rPr>
        <w:t xml:space="preserve">al justice, states throughout the U.S. have adopted maximum standards of protection, accompanied by </w:t>
      </w:r>
      <w:r>
        <w:rPr>
          <w:rFonts w:hAnsi="Trebuchet MS"/>
          <w:sz w:val="24"/>
          <w:szCs w:val="24"/>
          <w:lang w:val="en-US"/>
        </w:rPr>
        <w:t>“</w:t>
      </w:r>
      <w:r>
        <w:rPr>
          <w:rFonts w:ascii="Trebuchet MS"/>
          <w:sz w:val="24"/>
          <w:szCs w:val="24"/>
          <w:lang w:val="en-US"/>
        </w:rPr>
        <w:t>ceiling preemption</w:t>
      </w:r>
      <w:r>
        <w:rPr>
          <w:rFonts w:hAnsi="Trebuchet MS"/>
          <w:sz w:val="24"/>
          <w:szCs w:val="24"/>
          <w:lang w:val="en-US"/>
        </w:rPr>
        <w:t>”</w:t>
      </w:r>
      <w:r>
        <w:rPr>
          <w:rFonts w:ascii="Trebuchet MS"/>
          <w:sz w:val="24"/>
          <w:szCs w:val="24"/>
          <w:lang w:val="en-US"/>
        </w:rPr>
        <w:t xml:space="preserve"> law, meaning that statutory limits are imposed on local law-making that exceeds standards set by the state, for example on issues like</w:t>
      </w:r>
      <w:r>
        <w:rPr>
          <w:rFonts w:ascii="Times New Roman" w:eastAsia="Times New Roman" w:hAnsi="Times New Roman" w:cs="Times New Roman"/>
          <w:sz w:val="24"/>
          <w:szCs w:val="24"/>
          <w:vertAlign w:val="superscript"/>
          <w:lang w:val="en-US"/>
        </w:rPr>
        <w:footnoteReference w:id="16"/>
      </w:r>
      <w:r>
        <w:rPr>
          <w:rFonts w:ascii="Trebuchet MS"/>
          <w:sz w:val="24"/>
          <w:szCs w:val="24"/>
          <w:lang w:val="en-US"/>
        </w:rPr>
        <w:t xml:space="preserve"> the minimum wage, protections for water from fossil fuel extraction, tenant protections and worker benefits. Today, local laws offering greater than state-defined minimal protections are routinely</w:t>
      </w:r>
      <w:r>
        <w:rPr>
          <w:rFonts w:ascii="Times New Roman" w:eastAsia="Times New Roman" w:hAnsi="Times New Roman" w:cs="Times New Roman"/>
          <w:sz w:val="24"/>
          <w:szCs w:val="24"/>
          <w:vertAlign w:val="superscript"/>
          <w:lang w:val="en-US"/>
        </w:rPr>
        <w:footnoteReference w:id="17"/>
      </w:r>
      <w:r>
        <w:rPr>
          <w:rFonts w:ascii="Trebuchet MS"/>
          <w:sz w:val="24"/>
          <w:szCs w:val="24"/>
          <w:lang w:val="en-US"/>
        </w:rPr>
        <w:t xml:space="preserve"> preempted and prohibited. This institutionalized form o</w:t>
      </w:r>
      <w:r>
        <w:rPr>
          <w:rFonts w:ascii="Trebuchet MS"/>
          <w:sz w:val="24"/>
          <w:szCs w:val="24"/>
          <w:lang w:val="en-US"/>
        </w:rPr>
        <w:t xml:space="preserve">f repression </w:t>
      </w:r>
      <w:r>
        <w:rPr>
          <w:rFonts w:ascii="Trebuchet MS"/>
          <w:sz w:val="24"/>
          <w:szCs w:val="24"/>
          <w:lang w:val="en-US"/>
        </w:rPr>
        <w:t>is racist</w:t>
      </w:r>
      <w:r>
        <w:rPr>
          <w:rFonts w:ascii="Times New Roman" w:eastAsia="Times New Roman" w:hAnsi="Times New Roman" w:cs="Times New Roman"/>
          <w:sz w:val="24"/>
          <w:szCs w:val="24"/>
          <w:vertAlign w:val="superscript"/>
          <w:lang w:val="en-US"/>
        </w:rPr>
        <w:footnoteReference w:id="18"/>
      </w:r>
      <w:r>
        <w:rPr>
          <w:rFonts w:ascii="Trebuchet MS"/>
          <w:sz w:val="24"/>
          <w:szCs w:val="24"/>
          <w:lang w:val="en-US"/>
        </w:rPr>
        <w:t xml:space="preserve"> and </w:t>
      </w:r>
      <w:r>
        <w:rPr>
          <w:rFonts w:ascii="Trebuchet MS"/>
          <w:sz w:val="24"/>
          <w:szCs w:val="24"/>
          <w:lang w:val="en-US"/>
        </w:rPr>
        <w:t xml:space="preserve">threatens the collective political imagination as local attempts to raise standards and otherwise creatively govern corporate property are frequently quashed before they can spread to other municipalities. </w:t>
      </w:r>
    </w:p>
    <w:p w14:paraId="385E2319" w14:textId="77777777" w:rsidR="00011774" w:rsidRDefault="00011774">
      <w:pPr>
        <w:pStyle w:val="BodyA"/>
        <w:spacing w:after="0"/>
        <w:rPr>
          <w:sz w:val="24"/>
          <w:szCs w:val="24"/>
        </w:rPr>
      </w:pPr>
    </w:p>
    <w:p w14:paraId="0E7537F3" w14:textId="79A08393" w:rsidR="00011774" w:rsidRDefault="00273939">
      <w:pPr>
        <w:pStyle w:val="BodyA"/>
        <w:spacing w:after="0"/>
        <w:rPr>
          <w:sz w:val="24"/>
          <w:szCs w:val="24"/>
          <w:lang w:val="en-US"/>
        </w:rPr>
      </w:pPr>
      <w:r>
        <w:rPr>
          <w:rFonts w:ascii="Trebuchet MS"/>
          <w:sz w:val="24"/>
          <w:szCs w:val="24"/>
        </w:rPr>
        <w:t xml:space="preserve">This </w:t>
      </w:r>
      <w:r>
        <w:rPr>
          <w:rFonts w:ascii="Trebuchet MS"/>
          <w:sz w:val="24"/>
          <w:szCs w:val="24"/>
          <w:lang w:val="en-US"/>
        </w:rPr>
        <w:t>ceiling preemp</w:t>
      </w:r>
      <w:r>
        <w:rPr>
          <w:rFonts w:ascii="Trebuchet MS"/>
          <w:sz w:val="24"/>
          <w:szCs w:val="24"/>
          <w:lang w:val="en-US"/>
        </w:rPr>
        <w:t>tion is justified by reference to John Forest Dillon</w:t>
      </w:r>
      <w:r>
        <w:rPr>
          <w:rFonts w:hAnsi="Trebuchet MS"/>
          <w:sz w:val="24"/>
          <w:szCs w:val="24"/>
          <w:lang w:val="fr-FR"/>
        </w:rPr>
        <w:t>’</w:t>
      </w:r>
      <w:r>
        <w:rPr>
          <w:rFonts w:ascii="Trebuchet MS"/>
          <w:sz w:val="24"/>
          <w:szCs w:val="24"/>
          <w:lang w:val="en-US"/>
        </w:rPr>
        <w:t>s Iowa court dicta from 1868</w:t>
      </w:r>
      <w:r>
        <w:rPr>
          <w:rFonts w:ascii="Trebuchet MS"/>
          <w:sz w:val="24"/>
          <w:szCs w:val="24"/>
          <w:lang w:val="en-US"/>
        </w:rPr>
        <w:t xml:space="preserve">. Today, it is applied nationally to municipalities in all fifty states and referred to as </w:t>
      </w:r>
      <w:r>
        <w:rPr>
          <w:i/>
          <w:iCs/>
          <w:sz w:val="24"/>
          <w:szCs w:val="24"/>
          <w:lang w:val="es-ES_tradnl"/>
        </w:rPr>
        <w:t>Dillon</w:t>
      </w:r>
      <w:r>
        <w:rPr>
          <w:i/>
          <w:iCs/>
          <w:sz w:val="24"/>
          <w:szCs w:val="24"/>
          <w:lang w:val="fr-FR"/>
        </w:rPr>
        <w:t>’</w:t>
      </w:r>
      <w:r>
        <w:rPr>
          <w:i/>
          <w:iCs/>
          <w:sz w:val="24"/>
          <w:szCs w:val="24"/>
        </w:rPr>
        <w:t xml:space="preserve">s Rule. </w:t>
      </w:r>
      <w:r>
        <w:rPr>
          <w:rFonts w:ascii="Trebuchet MS"/>
          <w:sz w:val="24"/>
          <w:szCs w:val="24"/>
          <w:lang w:val="en-US"/>
        </w:rPr>
        <w:t xml:space="preserve">The </w:t>
      </w:r>
      <w:r>
        <w:rPr>
          <w:rFonts w:ascii="Trebuchet MS"/>
          <w:i/>
          <w:iCs/>
          <w:sz w:val="24"/>
          <w:szCs w:val="24"/>
          <w:lang w:val="en-US"/>
        </w:rPr>
        <w:t>Rule</w:t>
      </w:r>
      <w:r>
        <w:rPr>
          <w:rFonts w:ascii="Trebuchet MS"/>
          <w:sz w:val="24"/>
          <w:szCs w:val="24"/>
          <w:lang w:val="en-US"/>
        </w:rPr>
        <w:t xml:space="preserve"> was fully adopted for nationwide application to local governments by the U.S. Supreme Court, by reference to Dillon</w:t>
      </w:r>
      <w:r>
        <w:rPr>
          <w:rFonts w:hAnsi="Trebuchet MS"/>
          <w:sz w:val="24"/>
          <w:szCs w:val="24"/>
          <w:lang w:val="fr-FR"/>
        </w:rPr>
        <w:t>’</w:t>
      </w:r>
      <w:r>
        <w:rPr>
          <w:rFonts w:ascii="Trebuchet MS"/>
          <w:sz w:val="24"/>
          <w:szCs w:val="24"/>
          <w:lang w:val="en-US"/>
        </w:rPr>
        <w:t xml:space="preserve">s book, in </w:t>
      </w:r>
      <w:r>
        <w:rPr>
          <w:i/>
          <w:iCs/>
          <w:sz w:val="24"/>
          <w:szCs w:val="24"/>
          <w:lang w:val="de-DE"/>
        </w:rPr>
        <w:t>Hunter v. Pittsburgh</w:t>
      </w:r>
      <w:r>
        <w:rPr>
          <w:rFonts w:ascii="Trebuchet MS"/>
          <w:sz w:val="24"/>
          <w:szCs w:val="24"/>
          <w:lang w:val="en-US"/>
        </w:rPr>
        <w:t xml:space="preserve">, in 1907. Under this regime, state power over municipal governments is absolute. We see manifestations all </w:t>
      </w:r>
      <w:r>
        <w:rPr>
          <w:rFonts w:ascii="Trebuchet MS"/>
          <w:sz w:val="24"/>
          <w:szCs w:val="24"/>
          <w:lang w:val="en-US"/>
        </w:rPr>
        <w:t xml:space="preserve">around us. For instance, in Flint, Michigan an </w:t>
      </w:r>
      <w:r>
        <w:rPr>
          <w:i/>
          <w:iCs/>
          <w:sz w:val="24"/>
          <w:szCs w:val="24"/>
          <w:lang w:val="en-US"/>
        </w:rPr>
        <w:t>Emergency Manager</w:t>
      </w:r>
      <w:r>
        <w:rPr>
          <w:rFonts w:ascii="Trebuchet MS"/>
          <w:sz w:val="24"/>
          <w:szCs w:val="24"/>
          <w:lang w:val="en-US"/>
        </w:rPr>
        <w:t xml:space="preserve"> was interposed between the people and their city government by the state, ostensibly to repair the city</w:t>
      </w:r>
      <w:r>
        <w:rPr>
          <w:rFonts w:hAnsi="Trebuchet MS"/>
          <w:sz w:val="24"/>
          <w:szCs w:val="24"/>
          <w:lang w:val="en-US"/>
        </w:rPr>
        <w:t>’</w:t>
      </w:r>
      <w:r>
        <w:rPr>
          <w:rFonts w:ascii="Trebuchet MS"/>
          <w:sz w:val="24"/>
          <w:szCs w:val="24"/>
          <w:lang w:val="en-US"/>
        </w:rPr>
        <w:t xml:space="preserve">s financial crisis. The imposition of that local </w:t>
      </w:r>
      <w:r>
        <w:rPr>
          <w:rFonts w:ascii="Trebuchet MS"/>
          <w:sz w:val="24"/>
          <w:szCs w:val="24"/>
          <w:lang w:val="en-US"/>
        </w:rPr>
        <w:lastRenderedPageBreak/>
        <w:t>dictatorship resulted in the notorious</w:t>
      </w:r>
      <w:r>
        <w:rPr>
          <w:rFonts w:ascii="Trebuchet MS"/>
          <w:sz w:val="24"/>
          <w:szCs w:val="24"/>
          <w:lang w:val="en-US"/>
        </w:rPr>
        <w:t xml:space="preserve"> racist lead poisoning of the population because the governor</w:t>
      </w:r>
      <w:r>
        <w:rPr>
          <w:rFonts w:hAnsi="Trebuchet MS"/>
          <w:sz w:val="24"/>
          <w:szCs w:val="24"/>
          <w:lang w:val="fr-FR"/>
        </w:rPr>
        <w:t>’</w:t>
      </w:r>
      <w:r>
        <w:rPr>
          <w:rFonts w:ascii="Trebuchet MS"/>
          <w:sz w:val="24"/>
          <w:szCs w:val="24"/>
          <w:lang w:val="en-US"/>
        </w:rPr>
        <w:t xml:space="preserve">s unelected </w:t>
      </w:r>
      <w:r>
        <w:rPr>
          <w:i/>
          <w:iCs/>
          <w:sz w:val="24"/>
          <w:szCs w:val="24"/>
        </w:rPr>
        <w:t>proconsul</w:t>
      </w:r>
      <w:r>
        <w:rPr>
          <w:rFonts w:ascii="Trebuchet MS"/>
          <w:sz w:val="24"/>
          <w:szCs w:val="24"/>
          <w:lang w:val="en-US"/>
        </w:rPr>
        <w:t xml:space="preserve"> switched water systems to reap economic savings. </w:t>
      </w:r>
    </w:p>
    <w:p w14:paraId="41F00BCA" w14:textId="77777777" w:rsidR="00011774" w:rsidRDefault="00011774">
      <w:pPr>
        <w:pStyle w:val="BodyA"/>
        <w:spacing w:after="0"/>
        <w:rPr>
          <w:rFonts w:ascii="Trebuchet MS" w:eastAsia="Trebuchet MS" w:hAnsi="Trebuchet MS" w:cs="Trebuchet MS"/>
          <w:sz w:val="24"/>
          <w:szCs w:val="24"/>
          <w:lang w:val="en-US"/>
        </w:rPr>
      </w:pPr>
    </w:p>
    <w:p w14:paraId="31012C29" w14:textId="1DE4A367" w:rsidR="00011774" w:rsidRDefault="00273939">
      <w:pPr>
        <w:pStyle w:val="BodyA"/>
        <w:spacing w:after="0"/>
        <w:rPr>
          <w:sz w:val="24"/>
          <w:szCs w:val="24"/>
        </w:rPr>
      </w:pPr>
      <w:r>
        <w:rPr>
          <w:rFonts w:ascii="Trebuchet MS"/>
          <w:sz w:val="24"/>
          <w:szCs w:val="24"/>
          <w:lang w:val="en-US"/>
        </w:rPr>
        <w:t>CELDF</w:t>
      </w:r>
      <w:r>
        <w:rPr>
          <w:rFonts w:hAnsi="Trebuchet MS"/>
          <w:sz w:val="24"/>
          <w:szCs w:val="24"/>
          <w:lang w:val="en-US"/>
        </w:rPr>
        <w:t>’</w:t>
      </w:r>
      <w:r>
        <w:rPr>
          <w:rFonts w:ascii="Trebuchet MS"/>
          <w:sz w:val="24"/>
          <w:szCs w:val="24"/>
          <w:lang w:val="en-US"/>
        </w:rPr>
        <w:t>s work directly challenges this doctrine and advances new theories for balanced self-determination, including throu</w:t>
      </w:r>
      <w:r>
        <w:rPr>
          <w:rFonts w:ascii="Trebuchet MS"/>
          <w:sz w:val="24"/>
          <w:szCs w:val="24"/>
          <w:lang w:val="en-US"/>
        </w:rPr>
        <w:t>gh advancement of state constitutional change</w:t>
      </w:r>
      <w:r>
        <w:rPr>
          <w:rFonts w:ascii="Times New Roman" w:eastAsia="Times New Roman" w:hAnsi="Times New Roman" w:cs="Times New Roman"/>
          <w:sz w:val="24"/>
          <w:szCs w:val="24"/>
          <w:vertAlign w:val="superscript"/>
          <w:lang w:val="en-US"/>
        </w:rPr>
        <w:footnoteReference w:id="19"/>
      </w:r>
      <w:r>
        <w:rPr>
          <w:rFonts w:ascii="Trebuchet MS"/>
          <w:sz w:val="24"/>
          <w:szCs w:val="24"/>
          <w:lang w:val="en-US"/>
        </w:rPr>
        <w:t xml:space="preserve"> as well as on the local level, including the recent cases of Lincoln County, Oregon</w:t>
      </w:r>
      <w:r>
        <w:rPr>
          <w:rFonts w:ascii="Times New Roman" w:eastAsia="Times New Roman" w:hAnsi="Times New Roman" w:cs="Times New Roman"/>
          <w:sz w:val="24"/>
          <w:szCs w:val="24"/>
          <w:vertAlign w:val="superscript"/>
          <w:lang w:val="en-US"/>
        </w:rPr>
        <w:footnoteReference w:id="20"/>
      </w:r>
      <w:r>
        <w:rPr>
          <w:rFonts w:ascii="Trebuchet MS"/>
          <w:sz w:val="24"/>
          <w:szCs w:val="24"/>
          <w:lang w:val="en-US"/>
        </w:rPr>
        <w:t>, in defense of a rights of ecosystems ordinance banning corporate aerial pesticide spraying, and Grant Township (Indiana C</w:t>
      </w:r>
      <w:r>
        <w:rPr>
          <w:rFonts w:ascii="Trebuchet MS"/>
          <w:sz w:val="24"/>
          <w:szCs w:val="24"/>
          <w:lang w:val="en-US"/>
        </w:rPr>
        <w:t xml:space="preserve">ounty), Pennsylvania, where the community continues a seven-year battle to </w:t>
      </w:r>
      <w:r>
        <w:rPr>
          <w:rFonts w:ascii="Trebuchet MS"/>
          <w:sz w:val="24"/>
          <w:szCs w:val="24"/>
          <w:lang w:val="en-US"/>
        </w:rPr>
        <w:t xml:space="preserve">protect drinking water from </w:t>
      </w:r>
      <w:r>
        <w:rPr>
          <w:rFonts w:ascii="Trebuchet MS"/>
          <w:sz w:val="24"/>
          <w:szCs w:val="24"/>
          <w:lang w:val="en-US"/>
        </w:rPr>
        <w:t>a fracking waste injection well.</w:t>
      </w:r>
    </w:p>
    <w:p w14:paraId="1507EA54" w14:textId="77777777" w:rsidR="00011774" w:rsidRDefault="00011774">
      <w:pPr>
        <w:pStyle w:val="BodyA"/>
        <w:spacing w:after="0"/>
        <w:rPr>
          <w:sz w:val="24"/>
          <w:szCs w:val="24"/>
        </w:rPr>
      </w:pPr>
    </w:p>
    <w:p w14:paraId="6BB54C4A" w14:textId="675D69C7" w:rsidR="00011774" w:rsidRDefault="00273939">
      <w:pPr>
        <w:pStyle w:val="BodyA"/>
        <w:spacing w:after="0"/>
        <w:rPr>
          <w:sz w:val="24"/>
          <w:szCs w:val="24"/>
        </w:rPr>
      </w:pPr>
      <w:r>
        <w:rPr>
          <w:rFonts w:ascii="Trebuchet MS"/>
          <w:sz w:val="24"/>
          <w:szCs w:val="24"/>
          <w:lang w:val="en-US"/>
        </w:rPr>
        <w:t xml:space="preserve">Progressive reformers of the late nineteenth and early twentieth centuries championed municipal </w:t>
      </w:r>
      <w:r>
        <w:rPr>
          <w:rFonts w:hAnsi="Trebuchet MS"/>
          <w:sz w:val="24"/>
          <w:szCs w:val="24"/>
          <w:lang w:val="en-US"/>
        </w:rPr>
        <w:t>“</w:t>
      </w:r>
      <w:r>
        <w:rPr>
          <w:rFonts w:ascii="Trebuchet MS"/>
          <w:sz w:val="24"/>
          <w:szCs w:val="24"/>
          <w:lang w:val="en-US"/>
        </w:rPr>
        <w:t>home rule</w:t>
      </w:r>
      <w:r>
        <w:rPr>
          <w:rFonts w:hAnsi="Trebuchet MS"/>
          <w:sz w:val="24"/>
          <w:szCs w:val="24"/>
          <w:lang w:val="en-US"/>
        </w:rPr>
        <w:t>”</w:t>
      </w:r>
      <w:r>
        <w:rPr>
          <w:rFonts w:hAnsi="Trebuchet MS"/>
          <w:sz w:val="24"/>
          <w:szCs w:val="24"/>
          <w:lang w:val="en-US"/>
        </w:rPr>
        <w:t xml:space="preserve"> </w:t>
      </w:r>
      <w:r>
        <w:rPr>
          <w:rFonts w:ascii="Trebuchet MS"/>
          <w:sz w:val="24"/>
          <w:szCs w:val="24"/>
          <w:lang w:val="en-US"/>
        </w:rPr>
        <w:t xml:space="preserve">as a remedy for the democracy-nullifying effect of </w:t>
      </w:r>
      <w:r>
        <w:rPr>
          <w:i/>
          <w:iCs/>
          <w:sz w:val="24"/>
          <w:szCs w:val="24"/>
          <w:lang w:val="es-ES_tradnl"/>
        </w:rPr>
        <w:t>Dillon</w:t>
      </w:r>
      <w:r>
        <w:rPr>
          <w:i/>
          <w:iCs/>
          <w:sz w:val="24"/>
          <w:szCs w:val="24"/>
          <w:lang w:val="fr-FR"/>
        </w:rPr>
        <w:t>’</w:t>
      </w:r>
      <w:r>
        <w:rPr>
          <w:i/>
          <w:iCs/>
          <w:sz w:val="24"/>
          <w:szCs w:val="24"/>
        </w:rPr>
        <w:t xml:space="preserve">s Rule. </w:t>
      </w:r>
      <w:r>
        <w:rPr>
          <w:rFonts w:ascii="Trebuchet MS"/>
          <w:sz w:val="24"/>
          <w:szCs w:val="24"/>
          <w:lang w:val="en-US"/>
        </w:rPr>
        <w:t xml:space="preserve">But </w:t>
      </w:r>
      <w:r>
        <w:rPr>
          <w:rFonts w:hAnsi="Trebuchet MS"/>
          <w:sz w:val="24"/>
          <w:szCs w:val="24"/>
          <w:lang w:val="en-US"/>
        </w:rPr>
        <w:t>“</w:t>
      </w:r>
      <w:r>
        <w:rPr>
          <w:rFonts w:ascii="Trebuchet MS"/>
          <w:sz w:val="24"/>
          <w:szCs w:val="24"/>
          <w:lang w:val="en-US"/>
        </w:rPr>
        <w:t>home rule,</w:t>
      </w:r>
      <w:r>
        <w:rPr>
          <w:rFonts w:hAnsi="Trebuchet MS"/>
          <w:sz w:val="24"/>
          <w:szCs w:val="24"/>
          <w:lang w:val="en-US"/>
        </w:rPr>
        <w:t>”</w:t>
      </w:r>
      <w:r>
        <w:rPr>
          <w:rFonts w:ascii="Trebuchet MS"/>
          <w:sz w:val="24"/>
          <w:szCs w:val="24"/>
          <w:lang w:val="en-US"/>
        </w:rPr>
        <w:t xml:space="preserve"> where it exists, has not</w:t>
      </w:r>
      <w:r>
        <w:rPr>
          <w:rFonts w:ascii="Times New Roman" w:eastAsia="Times New Roman" w:hAnsi="Times New Roman" w:cs="Times New Roman"/>
          <w:sz w:val="24"/>
          <w:szCs w:val="24"/>
          <w:vertAlign w:val="superscript"/>
          <w:lang w:val="en-US"/>
        </w:rPr>
        <w:footnoteReference w:id="21"/>
      </w:r>
      <w:r>
        <w:rPr>
          <w:rFonts w:ascii="Trebuchet MS"/>
          <w:sz w:val="24"/>
          <w:szCs w:val="24"/>
          <w:lang w:val="en-US"/>
        </w:rPr>
        <w:t xml:space="preserve"> fundamentally altered this power relat</w:t>
      </w:r>
      <w:r>
        <w:rPr>
          <w:rFonts w:ascii="Trebuchet MS"/>
          <w:sz w:val="24"/>
          <w:szCs w:val="24"/>
          <w:lang w:val="en-US"/>
        </w:rPr>
        <w:t xml:space="preserve">ion. For instance, Michigan is a </w:t>
      </w:r>
      <w:r>
        <w:rPr>
          <w:rFonts w:hAnsi="Trebuchet MS"/>
          <w:sz w:val="24"/>
          <w:szCs w:val="24"/>
          <w:lang w:val="en-US"/>
        </w:rPr>
        <w:t>“</w:t>
      </w:r>
      <w:r>
        <w:rPr>
          <w:rFonts w:ascii="Trebuchet MS"/>
          <w:sz w:val="24"/>
          <w:szCs w:val="24"/>
          <w:lang w:val="en-US"/>
        </w:rPr>
        <w:t>home rule</w:t>
      </w:r>
      <w:r>
        <w:rPr>
          <w:rFonts w:hAnsi="Trebuchet MS"/>
          <w:sz w:val="24"/>
          <w:szCs w:val="24"/>
          <w:lang w:val="en-US"/>
        </w:rPr>
        <w:t>”</w:t>
      </w:r>
      <w:r>
        <w:rPr>
          <w:rFonts w:ascii="Trebuchet MS"/>
          <w:sz w:val="24"/>
          <w:szCs w:val="24"/>
          <w:lang w:val="en-US"/>
        </w:rPr>
        <w:t xml:space="preserve"> state, but this did nothing to protect </w:t>
      </w:r>
      <w:r>
        <w:rPr>
          <w:rFonts w:ascii="Trebuchet MS"/>
          <w:sz w:val="24"/>
          <w:szCs w:val="24"/>
          <w:lang w:val="en-US"/>
        </w:rPr>
        <w:t xml:space="preserve">Flint or </w:t>
      </w:r>
      <w:r>
        <w:rPr>
          <w:rFonts w:ascii="Trebuchet MS"/>
          <w:sz w:val="24"/>
          <w:szCs w:val="24"/>
          <w:lang w:val="en-US"/>
        </w:rPr>
        <w:t xml:space="preserve">Detroit </w:t>
      </w:r>
      <w:r>
        <w:rPr>
          <w:rFonts w:ascii="Trebuchet MS"/>
          <w:sz w:val="24"/>
          <w:szCs w:val="24"/>
          <w:lang w:val="en-US"/>
        </w:rPr>
        <w:t>from the state</w:t>
      </w:r>
      <w:r>
        <w:rPr>
          <w:rFonts w:hAnsi="Trebuchet MS"/>
          <w:sz w:val="24"/>
          <w:szCs w:val="24"/>
          <w:lang w:val="en-US"/>
        </w:rPr>
        <w:t>’</w:t>
      </w:r>
      <w:r>
        <w:rPr>
          <w:rFonts w:ascii="Trebuchet MS"/>
          <w:sz w:val="24"/>
          <w:szCs w:val="24"/>
          <w:lang w:val="en-US"/>
        </w:rPr>
        <w:t>s regressive emergency manager law. In fact, Dillon</w:t>
      </w:r>
      <w:r>
        <w:rPr>
          <w:rFonts w:hAnsi="Trebuchet MS"/>
          <w:sz w:val="24"/>
          <w:szCs w:val="24"/>
          <w:lang w:val="en-US"/>
        </w:rPr>
        <w:t>’</w:t>
      </w:r>
      <w:r>
        <w:rPr>
          <w:rFonts w:ascii="Trebuchet MS"/>
          <w:sz w:val="24"/>
          <w:szCs w:val="24"/>
          <w:lang w:val="en-US"/>
        </w:rPr>
        <w:t>s Rule was evoked</w:t>
      </w:r>
      <w:r>
        <w:rPr>
          <w:rFonts w:ascii="Times New Roman" w:eastAsia="Times New Roman" w:hAnsi="Times New Roman" w:cs="Times New Roman"/>
          <w:sz w:val="24"/>
          <w:szCs w:val="24"/>
          <w:vertAlign w:val="superscript"/>
          <w:lang w:val="en-US"/>
        </w:rPr>
        <w:footnoteReference w:id="22"/>
      </w:r>
      <w:r>
        <w:rPr>
          <w:rFonts w:ascii="Trebuchet MS"/>
          <w:sz w:val="24"/>
          <w:szCs w:val="24"/>
          <w:lang w:val="en-US"/>
        </w:rPr>
        <w:t xml:space="preserve"> to justify the emergency management, despite the presence </w:t>
      </w:r>
      <w:r>
        <w:rPr>
          <w:rFonts w:ascii="Trebuchet MS"/>
          <w:sz w:val="24"/>
          <w:szCs w:val="24"/>
          <w:lang w:val="en-US"/>
        </w:rPr>
        <w:t xml:space="preserve">of </w:t>
      </w:r>
      <w:r>
        <w:rPr>
          <w:rFonts w:hAnsi="Trebuchet MS"/>
          <w:sz w:val="24"/>
          <w:szCs w:val="24"/>
          <w:lang w:val="en-US"/>
        </w:rPr>
        <w:t>“</w:t>
      </w:r>
      <w:r>
        <w:rPr>
          <w:rFonts w:ascii="Trebuchet MS"/>
          <w:sz w:val="24"/>
          <w:szCs w:val="24"/>
          <w:lang w:val="en-US"/>
        </w:rPr>
        <w:t>home rule.</w:t>
      </w:r>
      <w:r>
        <w:rPr>
          <w:rFonts w:hAnsi="Trebuchet MS"/>
          <w:sz w:val="24"/>
          <w:szCs w:val="24"/>
          <w:lang w:val="en-US"/>
        </w:rPr>
        <w:t>”</w:t>
      </w:r>
    </w:p>
    <w:p w14:paraId="253CA06E" w14:textId="77777777" w:rsidR="00011774" w:rsidRDefault="00011774">
      <w:pPr>
        <w:pStyle w:val="BodyA"/>
        <w:spacing w:after="0"/>
        <w:rPr>
          <w:b/>
          <w:bCs/>
          <w:sz w:val="24"/>
          <w:szCs w:val="24"/>
        </w:rPr>
      </w:pPr>
    </w:p>
    <w:p w14:paraId="21E36505" w14:textId="77777777" w:rsidR="00011774" w:rsidRDefault="00273939">
      <w:pPr>
        <w:pStyle w:val="BodyA"/>
        <w:spacing w:after="0"/>
        <w:jc w:val="center"/>
        <w:rPr>
          <w:b/>
          <w:bCs/>
          <w:sz w:val="24"/>
          <w:szCs w:val="24"/>
        </w:rPr>
      </w:pPr>
      <w:r>
        <w:rPr>
          <w:b/>
          <w:bCs/>
          <w:sz w:val="24"/>
          <w:szCs w:val="24"/>
          <w:lang w:val="en-US"/>
        </w:rPr>
        <w:t>The Community Rights Movement in the U.S. and the Promise of Social Ecology</w:t>
      </w:r>
    </w:p>
    <w:p w14:paraId="2BA7281D" w14:textId="77777777" w:rsidR="00011774" w:rsidRDefault="00011774">
      <w:pPr>
        <w:pStyle w:val="BodyA"/>
        <w:spacing w:after="0"/>
        <w:jc w:val="center"/>
        <w:rPr>
          <w:b/>
          <w:bCs/>
          <w:sz w:val="24"/>
          <w:szCs w:val="24"/>
        </w:rPr>
      </w:pPr>
    </w:p>
    <w:p w14:paraId="46BABC52" w14:textId="77777777" w:rsidR="00011774" w:rsidRDefault="00273939">
      <w:pPr>
        <w:pStyle w:val="BodyA"/>
        <w:spacing w:after="0"/>
        <w:rPr>
          <w:sz w:val="24"/>
          <w:szCs w:val="24"/>
        </w:rPr>
      </w:pPr>
      <w:r>
        <w:rPr>
          <w:b/>
          <w:bCs/>
          <w:sz w:val="24"/>
          <w:szCs w:val="24"/>
          <w:lang w:val="en-US"/>
        </w:rPr>
        <w:t>“</w:t>
      </w:r>
      <w:r>
        <w:rPr>
          <w:i/>
          <w:iCs/>
          <w:sz w:val="24"/>
          <w:szCs w:val="24"/>
          <w:lang w:val="en-US"/>
        </w:rPr>
        <w:t xml:space="preserve">At their best, genuine political movements bring to consciousness the subterranean aspirations of discontented people and eventually turn this </w:t>
      </w:r>
      <w:r>
        <w:rPr>
          <w:i/>
          <w:iCs/>
          <w:sz w:val="24"/>
          <w:szCs w:val="24"/>
          <w:lang w:val="en-US"/>
        </w:rPr>
        <w:t>consciousness into political cultures that give coherence to inchoate and formless public desires.</w:t>
      </w:r>
      <w:r>
        <w:rPr>
          <w:i/>
          <w:iCs/>
          <w:sz w:val="24"/>
          <w:szCs w:val="24"/>
          <w:vertAlign w:val="superscript"/>
        </w:rPr>
        <w:footnoteReference w:id="23"/>
      </w:r>
      <w:r>
        <w:rPr>
          <w:i/>
          <w:iCs/>
          <w:sz w:val="24"/>
          <w:szCs w:val="24"/>
          <w:lang w:val="en-US"/>
        </w:rPr>
        <w:t>” -</w:t>
      </w:r>
      <w:r>
        <w:rPr>
          <w:rFonts w:ascii="Trebuchet MS"/>
          <w:sz w:val="24"/>
          <w:szCs w:val="24"/>
          <w:lang w:val="en-US"/>
        </w:rPr>
        <w:t>Murray Bookchin</w:t>
      </w:r>
    </w:p>
    <w:p w14:paraId="04D78330" w14:textId="77777777" w:rsidR="00011774" w:rsidRDefault="00011774">
      <w:pPr>
        <w:pStyle w:val="BodyA"/>
        <w:spacing w:after="0"/>
        <w:rPr>
          <w:sz w:val="24"/>
          <w:szCs w:val="24"/>
        </w:rPr>
      </w:pPr>
    </w:p>
    <w:p w14:paraId="5AD08368" w14:textId="77777777" w:rsidR="00011774" w:rsidRDefault="00011774">
      <w:pPr>
        <w:pStyle w:val="BodyA"/>
        <w:spacing w:after="0"/>
        <w:rPr>
          <w:sz w:val="24"/>
          <w:szCs w:val="24"/>
        </w:rPr>
      </w:pPr>
    </w:p>
    <w:p w14:paraId="0C4E04C0" w14:textId="05AFDC73" w:rsidR="00011774" w:rsidRDefault="00273939">
      <w:pPr>
        <w:pStyle w:val="BodyA"/>
        <w:spacing w:after="0"/>
        <w:rPr>
          <w:sz w:val="24"/>
          <w:szCs w:val="24"/>
        </w:rPr>
      </w:pPr>
      <w:r>
        <w:rPr>
          <w:rFonts w:ascii="Trebuchet MS"/>
          <w:sz w:val="24"/>
          <w:szCs w:val="24"/>
          <w:lang w:val="en-US"/>
        </w:rPr>
        <w:t>People in the U.S. are faced with social, political, and environmental problems that resist resolution because law empowers a wealthy m</w:t>
      </w:r>
      <w:r>
        <w:rPr>
          <w:rFonts w:ascii="Trebuchet MS"/>
          <w:sz w:val="24"/>
          <w:szCs w:val="24"/>
          <w:lang w:val="en-US"/>
        </w:rPr>
        <w:t xml:space="preserve">inority at odds with the general welfare to govern. The U.S. Constitution </w:t>
      </w:r>
      <w:r>
        <w:rPr>
          <w:rFonts w:hAnsi="Trebuchet MS"/>
          <w:sz w:val="24"/>
          <w:szCs w:val="24"/>
        </w:rPr>
        <w:t>—</w:t>
      </w:r>
      <w:r>
        <w:rPr>
          <w:rFonts w:ascii="Trebuchet MS"/>
          <w:sz w:val="24"/>
          <w:szCs w:val="24"/>
          <w:lang w:val="en-US"/>
        </w:rPr>
        <w:t xml:space="preserve"> and its interpretation by the courts </w:t>
      </w:r>
      <w:r>
        <w:rPr>
          <w:rFonts w:hAnsi="Trebuchet MS"/>
          <w:sz w:val="24"/>
          <w:szCs w:val="24"/>
        </w:rPr>
        <w:t>—</w:t>
      </w:r>
      <w:r>
        <w:rPr>
          <w:rFonts w:ascii="Trebuchet MS"/>
          <w:sz w:val="24"/>
          <w:szCs w:val="24"/>
          <w:lang w:val="en-US"/>
        </w:rPr>
        <w:t xml:space="preserve"> amounts to an arsenal of weaponized law able to deliver special privileges to a propertied class. Certain legal mechanisms let those seeking </w:t>
      </w:r>
      <w:r>
        <w:rPr>
          <w:rFonts w:ascii="Trebuchet MS"/>
          <w:sz w:val="24"/>
          <w:szCs w:val="24"/>
          <w:lang w:val="en-US"/>
        </w:rPr>
        <w:t xml:space="preserve">profit to block policies that compete with their interests. These legal doctrines remove democratic rights from the public sphere and deposit them in concentrated accumulations of property. </w:t>
      </w:r>
      <w:r>
        <w:rPr>
          <w:rFonts w:ascii="Trebuchet MS"/>
          <w:sz w:val="24"/>
          <w:szCs w:val="24"/>
          <w:lang w:val="en-US"/>
        </w:rPr>
        <w:lastRenderedPageBreak/>
        <w:t>The oddity of attaching legal rights to property itself rather tha</w:t>
      </w:r>
      <w:r>
        <w:rPr>
          <w:rFonts w:ascii="Trebuchet MS"/>
          <w:sz w:val="24"/>
          <w:szCs w:val="24"/>
          <w:lang w:val="en-US"/>
        </w:rPr>
        <w:t>n to people roared into public consciousness with the Supreme Court</w:t>
      </w:r>
      <w:r>
        <w:rPr>
          <w:rFonts w:hAnsi="Trebuchet MS"/>
          <w:sz w:val="24"/>
          <w:szCs w:val="24"/>
          <w:lang w:val="fr-FR"/>
        </w:rPr>
        <w:t>’</w:t>
      </w:r>
      <w:r>
        <w:rPr>
          <w:rFonts w:ascii="Trebuchet MS"/>
          <w:sz w:val="24"/>
          <w:szCs w:val="24"/>
        </w:rPr>
        <w:t xml:space="preserve">s 2010 </w:t>
      </w:r>
      <w:r>
        <w:rPr>
          <w:i/>
          <w:iCs/>
          <w:sz w:val="24"/>
          <w:szCs w:val="24"/>
          <w:lang w:val="en-US"/>
        </w:rPr>
        <w:t>Citizens United v. Federal Election Commission</w:t>
      </w:r>
      <w:r>
        <w:rPr>
          <w:rFonts w:ascii="Trebuchet MS"/>
          <w:sz w:val="24"/>
          <w:szCs w:val="24"/>
          <w:lang w:val="en-US"/>
        </w:rPr>
        <w:t xml:space="preserve"> ruling that affirmed corporate property</w:t>
      </w:r>
      <w:r>
        <w:rPr>
          <w:rFonts w:hAnsi="Trebuchet MS"/>
          <w:sz w:val="24"/>
          <w:szCs w:val="24"/>
          <w:lang w:val="fr-FR"/>
        </w:rPr>
        <w:t>’</w:t>
      </w:r>
      <w:r>
        <w:rPr>
          <w:rFonts w:ascii="Trebuchet MS"/>
          <w:sz w:val="24"/>
          <w:szCs w:val="24"/>
        </w:rPr>
        <w:t xml:space="preserve">s </w:t>
      </w:r>
      <w:r>
        <w:rPr>
          <w:rFonts w:hAnsi="Trebuchet MS"/>
          <w:sz w:val="24"/>
          <w:szCs w:val="24"/>
        </w:rPr>
        <w:t>“</w:t>
      </w:r>
      <w:r>
        <w:rPr>
          <w:rFonts w:ascii="Trebuchet MS"/>
          <w:sz w:val="24"/>
          <w:szCs w:val="24"/>
          <w:lang w:val="nl-NL"/>
        </w:rPr>
        <w:t>personhood</w:t>
      </w:r>
      <w:r>
        <w:rPr>
          <w:rFonts w:hAnsi="Trebuchet MS"/>
          <w:sz w:val="24"/>
          <w:szCs w:val="24"/>
        </w:rPr>
        <w:t>”</w:t>
      </w:r>
      <w:r>
        <w:rPr>
          <w:rFonts w:ascii="Trebuchet MS"/>
          <w:sz w:val="24"/>
          <w:szCs w:val="24"/>
        </w:rPr>
        <w:t xml:space="preserve"> </w:t>
      </w:r>
      <w:r>
        <w:rPr>
          <w:rFonts w:ascii="Trebuchet MS"/>
          <w:sz w:val="24"/>
          <w:szCs w:val="24"/>
          <w:lang w:val="en-US"/>
        </w:rPr>
        <w:t>rights to finance election campaigns. Although the ruling shocked the conscienc</w:t>
      </w:r>
      <w:r>
        <w:rPr>
          <w:rFonts w:ascii="Trebuchet MS"/>
          <w:sz w:val="24"/>
          <w:szCs w:val="24"/>
          <w:lang w:val="en-US"/>
        </w:rPr>
        <w:t>e of average Americans, it was, as we have seen, not the first time the Court had vested civil rights within inert property.</w:t>
      </w:r>
    </w:p>
    <w:p w14:paraId="2818F6AB" w14:textId="77777777" w:rsidR="00011774" w:rsidRDefault="00011774">
      <w:pPr>
        <w:pStyle w:val="BodyA"/>
        <w:spacing w:after="0"/>
        <w:rPr>
          <w:sz w:val="24"/>
          <w:szCs w:val="24"/>
        </w:rPr>
      </w:pPr>
    </w:p>
    <w:p w14:paraId="60BBCB72" w14:textId="6BD16BE3" w:rsidR="00011774" w:rsidRDefault="00273939">
      <w:pPr>
        <w:pStyle w:val="BodyA"/>
        <w:spacing w:after="0"/>
        <w:rPr>
          <w:sz w:val="24"/>
          <w:szCs w:val="24"/>
        </w:rPr>
      </w:pPr>
      <w:r>
        <w:rPr>
          <w:rFonts w:ascii="Trebuchet MS"/>
          <w:sz w:val="24"/>
          <w:szCs w:val="24"/>
          <w:lang w:val="en-US"/>
        </w:rPr>
        <w:t>When civil and human righ</w:t>
      </w:r>
      <w:r>
        <w:rPr>
          <w:rFonts w:ascii="Trebuchet MS"/>
          <w:sz w:val="24"/>
          <w:szCs w:val="24"/>
          <w:lang w:val="en-US"/>
        </w:rPr>
        <w:t xml:space="preserve">ts are deposited in property, that property is placed beyond the authority of people seeking to govern. For good reason, municipalities are prohibited from violating the civil rights of persons, but because corporations have won </w:t>
      </w:r>
      <w:r>
        <w:rPr>
          <w:rFonts w:ascii="Trebuchet MS"/>
          <w:sz w:val="24"/>
          <w:szCs w:val="24"/>
          <w:lang w:val="en-US"/>
        </w:rPr>
        <w:t>access to</w:t>
      </w:r>
      <w:r>
        <w:rPr>
          <w:rFonts w:hAnsi="Trebuchet MS"/>
          <w:sz w:val="24"/>
          <w:szCs w:val="24"/>
          <w:lang w:val="en-US"/>
        </w:rPr>
        <w:t xml:space="preserve"> </w:t>
      </w:r>
      <w:r>
        <w:rPr>
          <w:rFonts w:hAnsi="Trebuchet MS"/>
          <w:sz w:val="24"/>
          <w:szCs w:val="24"/>
          <w:lang w:val="en-US"/>
        </w:rPr>
        <w:t>“</w:t>
      </w:r>
      <w:r>
        <w:rPr>
          <w:rFonts w:ascii="Trebuchet MS"/>
          <w:sz w:val="24"/>
          <w:szCs w:val="24"/>
          <w:lang w:val="en-US"/>
        </w:rPr>
        <w:t>personhood</w:t>
      </w:r>
      <w:r>
        <w:rPr>
          <w:rFonts w:ascii="Trebuchet MS"/>
          <w:sz w:val="24"/>
          <w:szCs w:val="24"/>
          <w:lang w:val="en-US"/>
        </w:rPr>
        <w:t>,</w:t>
      </w:r>
      <w:r>
        <w:rPr>
          <w:rFonts w:hAnsi="Trebuchet MS"/>
          <w:sz w:val="24"/>
          <w:szCs w:val="24"/>
          <w:lang w:val="en-US"/>
        </w:rPr>
        <w:t>”</w:t>
      </w:r>
      <w:r>
        <w:rPr>
          <w:rFonts w:ascii="Trebuchet MS"/>
          <w:sz w:val="24"/>
          <w:szCs w:val="24"/>
          <w:lang w:val="en-US"/>
        </w:rPr>
        <w:t xml:space="preserve"> this system of checks constricts municipal activism from infringing on corporate property.</w:t>
      </w:r>
      <w:r>
        <w:rPr>
          <w:rFonts w:ascii="Trebuchet MS"/>
          <w:sz w:val="24"/>
          <w:szCs w:val="24"/>
        </w:rPr>
        <w:t xml:space="preserve"> </w:t>
      </w:r>
      <w:r>
        <w:rPr>
          <w:rFonts w:ascii="Trebuchet MS"/>
          <w:sz w:val="24"/>
          <w:szCs w:val="24"/>
          <w:lang w:val="en-US"/>
        </w:rPr>
        <w:t>Another result is that contracts, which frequently enter people into exploitative private relationships,</w:t>
      </w:r>
      <w:r>
        <w:rPr>
          <w:rFonts w:ascii="Trebuchet MS"/>
          <w:sz w:val="24"/>
          <w:szCs w:val="24"/>
        </w:rPr>
        <w:t xml:space="preserve"> </w:t>
      </w:r>
      <w:r>
        <w:rPr>
          <w:rFonts w:ascii="Trebuchet MS"/>
          <w:sz w:val="24"/>
          <w:szCs w:val="24"/>
          <w:lang w:val="en-US"/>
        </w:rPr>
        <w:t>are constitutionally shielded from public interve</w:t>
      </w:r>
      <w:r>
        <w:rPr>
          <w:rFonts w:ascii="Trebuchet MS"/>
          <w:sz w:val="24"/>
          <w:szCs w:val="24"/>
          <w:lang w:val="en-US"/>
        </w:rPr>
        <w:t>ntion. This nullifies activist lawmaking seeking to intervene on behalf of workers and consumers</w:t>
      </w:r>
      <w:r>
        <w:rPr>
          <w:rFonts w:ascii="Trebuchet MS"/>
          <w:sz w:val="24"/>
          <w:szCs w:val="24"/>
        </w:rPr>
        <w:t xml:space="preserve">. </w:t>
      </w:r>
      <w:r>
        <w:rPr>
          <w:rFonts w:ascii="Trebuchet MS"/>
          <w:sz w:val="24"/>
          <w:szCs w:val="24"/>
          <w:lang w:val="en-US"/>
        </w:rPr>
        <w:t>In sum,</w:t>
      </w:r>
      <w:r>
        <w:rPr>
          <w:rFonts w:ascii="Trebuchet MS"/>
          <w:sz w:val="24"/>
          <w:szCs w:val="24"/>
        </w:rPr>
        <w:t xml:space="preserve"> </w:t>
      </w:r>
      <w:r>
        <w:rPr>
          <w:rFonts w:ascii="Trebuchet MS"/>
          <w:sz w:val="24"/>
          <w:szCs w:val="24"/>
          <w:lang w:val="en-US"/>
        </w:rPr>
        <w:t>privileges secured by law for an opulent minority outweigh the right of communities to fashion society. Communities are left institutionally disadvant</w:t>
      </w:r>
      <w:r>
        <w:rPr>
          <w:rFonts w:ascii="Trebuchet MS"/>
          <w:sz w:val="24"/>
          <w:szCs w:val="24"/>
          <w:lang w:val="en-US"/>
        </w:rPr>
        <w:t xml:space="preserve">aged when it comes to taking meaningful action on </w:t>
      </w:r>
      <w:r>
        <w:rPr>
          <w:rFonts w:ascii="Trebuchet MS"/>
          <w:sz w:val="24"/>
          <w:szCs w:val="24"/>
          <w:lang w:val="en-US"/>
        </w:rPr>
        <w:t>issue</w:t>
      </w:r>
      <w:r w:rsidR="00806FF9">
        <w:rPr>
          <w:rFonts w:ascii="Trebuchet MS"/>
          <w:sz w:val="24"/>
          <w:szCs w:val="24"/>
          <w:lang w:val="en-US"/>
        </w:rPr>
        <w:t>s</w:t>
      </w:r>
      <w:r>
        <w:rPr>
          <w:rFonts w:ascii="Trebuchet MS"/>
          <w:sz w:val="24"/>
          <w:szCs w:val="24"/>
          <w:lang w:val="en-US"/>
        </w:rPr>
        <w:t xml:space="preserve"> like</w:t>
      </w:r>
      <w:r>
        <w:rPr>
          <w:rFonts w:ascii="Trebuchet MS"/>
          <w:sz w:val="24"/>
          <w:szCs w:val="24"/>
        </w:rPr>
        <w:t>:</w:t>
      </w:r>
    </w:p>
    <w:p w14:paraId="1F78BFA4" w14:textId="77777777" w:rsidR="00011774" w:rsidRDefault="00011774">
      <w:pPr>
        <w:pStyle w:val="BodyA"/>
        <w:spacing w:after="0"/>
        <w:rPr>
          <w:sz w:val="24"/>
          <w:szCs w:val="24"/>
        </w:rPr>
      </w:pPr>
    </w:p>
    <w:p w14:paraId="765CA747" w14:textId="77777777" w:rsidR="00011774" w:rsidRDefault="00273939">
      <w:pPr>
        <w:pStyle w:val="BodyA"/>
        <w:numPr>
          <w:ilvl w:val="0"/>
          <w:numId w:val="3"/>
        </w:numPr>
        <w:shd w:val="clear" w:color="auto" w:fill="FFFFFF"/>
        <w:tabs>
          <w:tab w:val="clear" w:pos="720"/>
          <w:tab w:val="num" w:pos="690"/>
        </w:tabs>
        <w:spacing w:after="0"/>
        <w:ind w:left="690" w:hanging="330"/>
        <w:rPr>
          <w:shd w:val="clear" w:color="auto" w:fill="FFFFFF"/>
        </w:rPr>
      </w:pPr>
      <w:r>
        <w:rPr>
          <w:rFonts w:ascii="Trebuchet MS"/>
          <w:sz w:val="24"/>
          <w:szCs w:val="24"/>
          <w:shd w:val="clear" w:color="auto" w:fill="FFFFFF"/>
        </w:rPr>
        <w:t xml:space="preserve">Houselessness </w:t>
      </w:r>
    </w:p>
    <w:p w14:paraId="5B8A518B" w14:textId="67C21DEF" w:rsidR="00011774" w:rsidRDefault="00273939">
      <w:pPr>
        <w:pStyle w:val="BodyA"/>
        <w:numPr>
          <w:ilvl w:val="0"/>
          <w:numId w:val="6"/>
        </w:numPr>
        <w:shd w:val="clear" w:color="auto" w:fill="FFFFFF"/>
        <w:tabs>
          <w:tab w:val="clear" w:pos="720"/>
          <w:tab w:val="num" w:pos="690"/>
        </w:tabs>
        <w:spacing w:after="0"/>
        <w:ind w:left="690" w:hanging="330"/>
        <w:rPr>
          <w:shd w:val="clear" w:color="auto" w:fill="FFFFFF"/>
        </w:rPr>
      </w:pPr>
      <w:r>
        <w:rPr>
          <w:rFonts w:ascii="Trebuchet MS"/>
          <w:sz w:val="24"/>
          <w:szCs w:val="24"/>
          <w:shd w:val="clear" w:color="auto" w:fill="FFFFFF"/>
          <w:lang w:val="fr-FR"/>
        </w:rPr>
        <w:t>Non-</w:t>
      </w:r>
      <w:proofErr w:type="spellStart"/>
      <w:r>
        <w:rPr>
          <w:rFonts w:ascii="Trebuchet MS"/>
          <w:sz w:val="24"/>
          <w:szCs w:val="24"/>
          <w:shd w:val="clear" w:color="auto" w:fill="FFFFFF"/>
          <w:lang w:val="fr-FR"/>
        </w:rPr>
        <w:t>citizen</w:t>
      </w:r>
      <w:proofErr w:type="spellEnd"/>
      <w:r>
        <w:rPr>
          <w:rFonts w:ascii="Trebuchet MS"/>
          <w:sz w:val="24"/>
          <w:szCs w:val="24"/>
          <w:shd w:val="clear" w:color="auto" w:fill="FFFFFF"/>
          <w:lang w:val="en-US"/>
        </w:rPr>
        <w:t xml:space="preserve"> political rights</w:t>
      </w:r>
    </w:p>
    <w:p w14:paraId="646719FC" w14:textId="77777777" w:rsidR="00011774" w:rsidRDefault="00273939">
      <w:pPr>
        <w:pStyle w:val="BodyA"/>
        <w:numPr>
          <w:ilvl w:val="0"/>
          <w:numId w:val="9"/>
        </w:numPr>
        <w:shd w:val="clear" w:color="auto" w:fill="FFFFFF"/>
        <w:tabs>
          <w:tab w:val="clear" w:pos="720"/>
          <w:tab w:val="num" w:pos="690"/>
        </w:tabs>
        <w:spacing w:after="0"/>
        <w:ind w:left="690" w:hanging="330"/>
        <w:rPr>
          <w:shd w:val="clear" w:color="auto" w:fill="FFFFFF"/>
        </w:rPr>
      </w:pPr>
      <w:r>
        <w:rPr>
          <w:rFonts w:ascii="Trebuchet MS"/>
          <w:sz w:val="24"/>
          <w:szCs w:val="24"/>
          <w:shd w:val="clear" w:color="auto" w:fill="FFFFFF"/>
        </w:rPr>
        <w:t>Workers</w:t>
      </w:r>
      <w:r>
        <w:rPr>
          <w:rFonts w:hAnsi="Trebuchet MS"/>
          <w:sz w:val="24"/>
          <w:szCs w:val="24"/>
          <w:shd w:val="clear" w:color="auto" w:fill="FFFFFF"/>
          <w:lang w:val="en-US"/>
        </w:rPr>
        <w:t>’</w:t>
      </w:r>
      <w:r>
        <w:rPr>
          <w:rFonts w:hAnsi="Trebuchet MS"/>
          <w:sz w:val="24"/>
          <w:szCs w:val="24"/>
          <w:shd w:val="clear" w:color="auto" w:fill="FFFFFF"/>
          <w:lang w:val="en-US"/>
        </w:rPr>
        <w:t xml:space="preserve"> </w:t>
      </w:r>
      <w:r>
        <w:rPr>
          <w:rFonts w:ascii="Trebuchet MS"/>
          <w:sz w:val="24"/>
          <w:szCs w:val="24"/>
          <w:shd w:val="clear" w:color="auto" w:fill="FFFFFF"/>
          <w:lang w:val="en-US"/>
        </w:rPr>
        <w:t>rights on the job</w:t>
      </w:r>
    </w:p>
    <w:p w14:paraId="625CC63D" w14:textId="77777777" w:rsidR="00011774" w:rsidRDefault="00273939">
      <w:pPr>
        <w:pStyle w:val="BodyA"/>
        <w:numPr>
          <w:ilvl w:val="0"/>
          <w:numId w:val="12"/>
        </w:numPr>
        <w:shd w:val="clear" w:color="auto" w:fill="FFFFFF"/>
        <w:tabs>
          <w:tab w:val="clear" w:pos="720"/>
          <w:tab w:val="num" w:pos="690"/>
        </w:tabs>
        <w:spacing w:after="0"/>
        <w:ind w:left="690" w:hanging="330"/>
        <w:rPr>
          <w:shd w:val="clear" w:color="auto" w:fill="FFFFFF"/>
        </w:rPr>
      </w:pPr>
      <w:r>
        <w:rPr>
          <w:rFonts w:ascii="Trebuchet MS"/>
          <w:sz w:val="24"/>
          <w:szCs w:val="24"/>
          <w:shd w:val="clear" w:color="auto" w:fill="FFFFFF"/>
          <w:lang w:val="en-US"/>
        </w:rPr>
        <w:t>Living wages</w:t>
      </w:r>
    </w:p>
    <w:p w14:paraId="1C2E0F5E" w14:textId="77777777" w:rsidR="00011774" w:rsidRDefault="00273939">
      <w:pPr>
        <w:pStyle w:val="BodyA"/>
        <w:numPr>
          <w:ilvl w:val="0"/>
          <w:numId w:val="15"/>
        </w:numPr>
        <w:shd w:val="clear" w:color="auto" w:fill="FFFFFF"/>
        <w:tabs>
          <w:tab w:val="clear" w:pos="720"/>
          <w:tab w:val="num" w:pos="690"/>
        </w:tabs>
        <w:spacing w:after="0"/>
        <w:ind w:left="690" w:hanging="330"/>
        <w:rPr>
          <w:shd w:val="clear" w:color="auto" w:fill="FFFFFF"/>
        </w:rPr>
      </w:pPr>
      <w:r>
        <w:rPr>
          <w:rFonts w:ascii="Trebuchet MS"/>
          <w:sz w:val="24"/>
          <w:szCs w:val="24"/>
          <w:shd w:val="clear" w:color="auto" w:fill="FFFFFF"/>
          <w:lang w:val="en-US"/>
        </w:rPr>
        <w:t>Extractive industries</w:t>
      </w:r>
    </w:p>
    <w:p w14:paraId="2E1050A2" w14:textId="77777777" w:rsidR="00011774" w:rsidRDefault="00273939">
      <w:pPr>
        <w:pStyle w:val="BodyA"/>
        <w:numPr>
          <w:ilvl w:val="0"/>
          <w:numId w:val="18"/>
        </w:numPr>
        <w:shd w:val="clear" w:color="auto" w:fill="FFFFFF"/>
        <w:tabs>
          <w:tab w:val="clear" w:pos="720"/>
          <w:tab w:val="num" w:pos="690"/>
        </w:tabs>
        <w:spacing w:after="0"/>
        <w:ind w:left="690" w:hanging="330"/>
        <w:rPr>
          <w:shd w:val="clear" w:color="auto" w:fill="FFFFFF"/>
        </w:rPr>
      </w:pPr>
      <w:r>
        <w:rPr>
          <w:rFonts w:ascii="Trebuchet MS"/>
          <w:sz w:val="24"/>
          <w:szCs w:val="24"/>
          <w:shd w:val="clear" w:color="auto" w:fill="FFFFFF"/>
          <w:lang w:val="en-US"/>
        </w:rPr>
        <w:t xml:space="preserve">Environmental protection, including Rights of </w:t>
      </w:r>
      <w:r>
        <w:rPr>
          <w:rFonts w:ascii="Trebuchet MS"/>
          <w:sz w:val="24"/>
          <w:szCs w:val="24"/>
          <w:shd w:val="clear" w:color="auto" w:fill="FFFFFF"/>
          <w:lang w:val="en-US"/>
        </w:rPr>
        <w:t>Nature</w:t>
      </w:r>
    </w:p>
    <w:p w14:paraId="42F21544" w14:textId="1D03419A" w:rsidR="00011774" w:rsidRDefault="00273939">
      <w:pPr>
        <w:pStyle w:val="BodyA"/>
        <w:numPr>
          <w:ilvl w:val="0"/>
          <w:numId w:val="21"/>
        </w:numPr>
        <w:shd w:val="clear" w:color="auto" w:fill="FFFFFF"/>
        <w:tabs>
          <w:tab w:val="num" w:pos="690"/>
        </w:tabs>
        <w:spacing w:after="0"/>
        <w:ind w:left="690" w:hanging="330"/>
        <w:rPr>
          <w:sz w:val="24"/>
          <w:szCs w:val="24"/>
          <w:shd w:val="clear" w:color="auto" w:fill="FFFFFF"/>
        </w:rPr>
      </w:pPr>
      <w:r>
        <w:rPr>
          <w:rFonts w:ascii="Trebuchet MS"/>
          <w:sz w:val="24"/>
          <w:szCs w:val="24"/>
          <w:shd w:val="clear" w:color="auto" w:fill="FFFFFF"/>
        </w:rPr>
        <w:t>Corporate development</w:t>
      </w:r>
    </w:p>
    <w:p w14:paraId="5C26B74E" w14:textId="77777777" w:rsidR="00011774" w:rsidRDefault="00273939">
      <w:pPr>
        <w:pStyle w:val="BodyA"/>
        <w:numPr>
          <w:ilvl w:val="0"/>
          <w:numId w:val="24"/>
        </w:numPr>
        <w:shd w:val="clear" w:color="auto" w:fill="FFFFFF"/>
        <w:tabs>
          <w:tab w:val="clear" w:pos="720"/>
          <w:tab w:val="num" w:pos="690"/>
        </w:tabs>
        <w:spacing w:after="0"/>
        <w:ind w:left="690" w:hanging="330"/>
        <w:rPr>
          <w:shd w:val="clear" w:color="auto" w:fill="FFFFFF"/>
        </w:rPr>
      </w:pPr>
      <w:r>
        <w:rPr>
          <w:rFonts w:ascii="Trebuchet MS"/>
          <w:sz w:val="24"/>
          <w:szCs w:val="24"/>
          <w:shd w:val="clear" w:color="auto" w:fill="FFFFFF"/>
          <w:lang w:val="en-US"/>
        </w:rPr>
        <w:t>Privatization of education, w</w:t>
      </w:r>
      <w:r>
        <w:rPr>
          <w:rFonts w:ascii="Trebuchet MS"/>
          <w:sz w:val="24"/>
          <w:szCs w:val="24"/>
          <w:shd w:val="clear" w:color="auto" w:fill="FFFFFF"/>
        </w:rPr>
        <w:t xml:space="preserve">ater, </w:t>
      </w:r>
      <w:r>
        <w:rPr>
          <w:rFonts w:ascii="Trebuchet MS"/>
          <w:sz w:val="24"/>
          <w:szCs w:val="24"/>
          <w:shd w:val="clear" w:color="auto" w:fill="FFFFFF"/>
          <w:lang w:val="en-US"/>
        </w:rPr>
        <w:t>health c</w:t>
      </w:r>
      <w:r>
        <w:rPr>
          <w:rFonts w:ascii="Trebuchet MS"/>
          <w:sz w:val="24"/>
          <w:szCs w:val="24"/>
          <w:shd w:val="clear" w:color="auto" w:fill="FFFFFF"/>
        </w:rPr>
        <w:t xml:space="preserve">are, </w:t>
      </w:r>
      <w:r>
        <w:rPr>
          <w:rFonts w:ascii="Trebuchet MS"/>
          <w:sz w:val="24"/>
          <w:szCs w:val="24"/>
          <w:shd w:val="clear" w:color="auto" w:fill="FFFFFF"/>
          <w:lang w:val="en-US"/>
        </w:rPr>
        <w:t>r</w:t>
      </w:r>
      <w:proofErr w:type="spellStart"/>
      <w:r>
        <w:rPr>
          <w:rFonts w:ascii="Trebuchet MS"/>
          <w:sz w:val="24"/>
          <w:szCs w:val="24"/>
          <w:shd w:val="clear" w:color="auto" w:fill="FFFFFF"/>
          <w:lang w:val="fr-FR"/>
        </w:rPr>
        <w:t>etirement</w:t>
      </w:r>
      <w:proofErr w:type="spellEnd"/>
      <w:r>
        <w:rPr>
          <w:rFonts w:ascii="Trebuchet MS"/>
          <w:sz w:val="24"/>
          <w:szCs w:val="24"/>
          <w:shd w:val="clear" w:color="auto" w:fill="FFFFFF"/>
          <w:lang w:val="fr-FR"/>
        </w:rPr>
        <w:t xml:space="preserve">, </w:t>
      </w:r>
      <w:r>
        <w:rPr>
          <w:rFonts w:ascii="Trebuchet MS"/>
          <w:sz w:val="24"/>
          <w:szCs w:val="24"/>
          <w:shd w:val="clear" w:color="auto" w:fill="FFFFFF"/>
          <w:lang w:val="en-US"/>
        </w:rPr>
        <w:t>t</w:t>
      </w:r>
      <w:r>
        <w:rPr>
          <w:rFonts w:ascii="Trebuchet MS"/>
          <w:sz w:val="24"/>
          <w:szCs w:val="24"/>
          <w:shd w:val="clear" w:color="auto" w:fill="FFFFFF"/>
        </w:rPr>
        <w:t>ransportation</w:t>
      </w:r>
    </w:p>
    <w:p w14:paraId="545310DD" w14:textId="77777777" w:rsidR="00011774" w:rsidRDefault="00273939">
      <w:pPr>
        <w:pStyle w:val="BodyA"/>
        <w:numPr>
          <w:ilvl w:val="0"/>
          <w:numId w:val="27"/>
        </w:numPr>
        <w:shd w:val="clear" w:color="auto" w:fill="FFFFFF"/>
        <w:tabs>
          <w:tab w:val="clear" w:pos="720"/>
          <w:tab w:val="num" w:pos="690"/>
        </w:tabs>
        <w:spacing w:after="0"/>
        <w:ind w:left="690" w:hanging="330"/>
        <w:rPr>
          <w:shd w:val="clear" w:color="auto" w:fill="FFFFFF"/>
        </w:rPr>
      </w:pPr>
      <w:r>
        <w:rPr>
          <w:rFonts w:ascii="Trebuchet MS"/>
          <w:sz w:val="24"/>
          <w:szCs w:val="24"/>
          <w:shd w:val="clear" w:color="auto" w:fill="FFFFFF"/>
          <w:lang w:val="en-US"/>
        </w:rPr>
        <w:t>Corporate control of elections</w:t>
      </w:r>
    </w:p>
    <w:p w14:paraId="11BACCD9" w14:textId="77777777" w:rsidR="00011774" w:rsidRDefault="00273939">
      <w:pPr>
        <w:pStyle w:val="BodyA"/>
        <w:numPr>
          <w:ilvl w:val="0"/>
          <w:numId w:val="28"/>
        </w:numPr>
        <w:shd w:val="clear" w:color="auto" w:fill="FFFFFF"/>
        <w:tabs>
          <w:tab w:val="num" w:pos="690"/>
          <w:tab w:val="left" w:pos="720"/>
        </w:tabs>
        <w:spacing w:after="0"/>
        <w:rPr>
          <w:shd w:val="clear" w:color="auto" w:fill="FFFFFF"/>
        </w:rPr>
      </w:pPr>
      <w:r>
        <w:rPr>
          <w:rFonts w:ascii="Trebuchet MS"/>
          <w:sz w:val="24"/>
          <w:szCs w:val="24"/>
          <w:shd w:val="clear" w:color="auto" w:fill="FFFFFF"/>
          <w:lang w:val="en-US"/>
        </w:rPr>
        <w:t>Corporatization of food production</w:t>
      </w:r>
    </w:p>
    <w:p w14:paraId="46515D26" w14:textId="77777777" w:rsidR="00011774" w:rsidRDefault="00011774">
      <w:pPr>
        <w:pStyle w:val="BodyA"/>
        <w:spacing w:after="0"/>
        <w:rPr>
          <w:sz w:val="24"/>
          <w:szCs w:val="24"/>
        </w:rPr>
      </w:pPr>
    </w:p>
    <w:p w14:paraId="3A6F5D1C" w14:textId="77777777" w:rsidR="00011774" w:rsidRDefault="00273939">
      <w:pPr>
        <w:pStyle w:val="BodyA"/>
        <w:spacing w:after="0"/>
        <w:rPr>
          <w:sz w:val="24"/>
          <w:szCs w:val="24"/>
        </w:rPr>
      </w:pPr>
      <w:r>
        <w:rPr>
          <w:rFonts w:ascii="Trebuchet MS"/>
          <w:sz w:val="24"/>
          <w:szCs w:val="24"/>
          <w:lang w:val="en-US"/>
        </w:rPr>
        <w:t xml:space="preserve">As we have seen in books like </w:t>
      </w:r>
      <w:r>
        <w:rPr>
          <w:i/>
          <w:iCs/>
          <w:sz w:val="24"/>
          <w:szCs w:val="24"/>
          <w:lang w:val="en-US"/>
        </w:rPr>
        <w:t>Fearless Cities,</w:t>
      </w:r>
      <w:r>
        <w:rPr>
          <w:i/>
          <w:iCs/>
          <w:sz w:val="24"/>
          <w:szCs w:val="24"/>
          <w:vertAlign w:val="superscript"/>
        </w:rPr>
        <w:footnoteReference w:id="24"/>
      </w:r>
      <w:r>
        <w:rPr>
          <w:rFonts w:ascii="Trebuchet MS"/>
          <w:sz w:val="24"/>
          <w:szCs w:val="24"/>
          <w:lang w:val="en-US"/>
        </w:rPr>
        <w:t xml:space="preserve"> and as colleagues at this conference have expressed, the Global Municipalist Movement is truly a </w:t>
      </w:r>
      <w:r>
        <w:rPr>
          <w:i/>
          <w:iCs/>
          <w:sz w:val="24"/>
          <w:szCs w:val="24"/>
          <w:lang w:val="en-US"/>
        </w:rPr>
        <w:t xml:space="preserve">movement. </w:t>
      </w:r>
      <w:r>
        <w:rPr>
          <w:rFonts w:ascii="Trebuchet MS"/>
          <w:sz w:val="24"/>
          <w:szCs w:val="24"/>
          <w:lang w:val="en-US"/>
        </w:rPr>
        <w:t xml:space="preserve">It involves communities </w:t>
      </w:r>
      <w:r>
        <w:rPr>
          <w:i/>
          <w:iCs/>
          <w:sz w:val="24"/>
          <w:szCs w:val="24"/>
          <w:lang w:val="en-US"/>
        </w:rPr>
        <w:t xml:space="preserve">acting </w:t>
      </w:r>
      <w:r>
        <w:rPr>
          <w:rFonts w:ascii="Trebuchet MS"/>
          <w:sz w:val="24"/>
          <w:szCs w:val="24"/>
          <w:lang w:val="en-US"/>
        </w:rPr>
        <w:t>in their collective capacity and taking it upon themselves to not just theorize and talk about the oppressive challen</w:t>
      </w:r>
      <w:r>
        <w:rPr>
          <w:rFonts w:ascii="Trebuchet MS"/>
          <w:sz w:val="24"/>
          <w:szCs w:val="24"/>
          <w:lang w:val="en-US"/>
        </w:rPr>
        <w:t>ges they face. They have begun to do what must be done, and this includes linking local movements and advancing systemic alternatives that encourage a pluralistic community of communities mutually bound together by standards of protection and simultaneousl</w:t>
      </w:r>
      <w:r>
        <w:rPr>
          <w:rFonts w:ascii="Trebuchet MS"/>
          <w:sz w:val="24"/>
          <w:szCs w:val="24"/>
          <w:lang w:val="en-US"/>
        </w:rPr>
        <w:t>y free to test new ideas and push the envelope for radical governance.</w:t>
      </w:r>
    </w:p>
    <w:p w14:paraId="5D53E0FF" w14:textId="77777777" w:rsidR="00011774" w:rsidRDefault="00011774">
      <w:pPr>
        <w:pStyle w:val="BodyA"/>
        <w:spacing w:after="0"/>
        <w:rPr>
          <w:sz w:val="24"/>
          <w:szCs w:val="24"/>
        </w:rPr>
      </w:pPr>
    </w:p>
    <w:p w14:paraId="75EB9111" w14:textId="77777777" w:rsidR="00011774" w:rsidRDefault="00273939">
      <w:pPr>
        <w:pStyle w:val="BodyA"/>
        <w:spacing w:after="0"/>
        <w:rPr>
          <w:sz w:val="24"/>
          <w:szCs w:val="24"/>
        </w:rPr>
      </w:pPr>
      <w:r>
        <w:rPr>
          <w:rFonts w:ascii="Trebuchet MS"/>
          <w:sz w:val="24"/>
          <w:szCs w:val="24"/>
          <w:lang w:val="en-US"/>
        </w:rPr>
        <w:lastRenderedPageBreak/>
        <w:t xml:space="preserve">Internationally, </w:t>
      </w:r>
      <w:r>
        <w:rPr>
          <w:i/>
          <w:iCs/>
          <w:sz w:val="24"/>
          <w:szCs w:val="24"/>
          <w:lang w:val="en-US"/>
        </w:rPr>
        <w:t xml:space="preserve">Municipalism </w:t>
      </w:r>
      <w:r>
        <w:rPr>
          <w:rFonts w:ascii="Trebuchet MS"/>
          <w:sz w:val="24"/>
          <w:szCs w:val="24"/>
          <w:lang w:val="en-US"/>
        </w:rPr>
        <w:t>contests neoliberal austerity imposed by undemocratic institutions. Domestically, it encounters</w:t>
      </w:r>
      <w:r>
        <w:rPr>
          <w:rFonts w:ascii="Trebuchet MS"/>
          <w:sz w:val="24"/>
          <w:szCs w:val="24"/>
        </w:rPr>
        <w:t xml:space="preserve"> </w:t>
      </w:r>
      <w:r>
        <w:rPr>
          <w:rFonts w:ascii="Trebuchet MS"/>
          <w:sz w:val="24"/>
          <w:szCs w:val="24"/>
          <w:lang w:val="en-US"/>
        </w:rPr>
        <w:t>the</w:t>
      </w:r>
      <w:r>
        <w:rPr>
          <w:rFonts w:ascii="Trebuchet MS"/>
          <w:sz w:val="24"/>
          <w:szCs w:val="24"/>
        </w:rPr>
        <w:t xml:space="preserve"> scale</w:t>
      </w:r>
      <w:r>
        <w:rPr>
          <w:rFonts w:ascii="Trebuchet MS"/>
          <w:sz w:val="24"/>
          <w:szCs w:val="24"/>
          <w:lang w:val="en-US"/>
        </w:rPr>
        <w:t xml:space="preserve"> of the human and the ecological. The Community R</w:t>
      </w:r>
      <w:r>
        <w:rPr>
          <w:rFonts w:ascii="Trebuchet MS"/>
          <w:sz w:val="24"/>
          <w:szCs w:val="24"/>
          <w:lang w:val="en-US"/>
        </w:rPr>
        <w:t xml:space="preserve">ights Movement has taken-up municipal law-making in hundreds of direct challenges to </w:t>
      </w:r>
      <w:r>
        <w:rPr>
          <w:rFonts w:ascii="Trebuchet MS"/>
          <w:sz w:val="24"/>
          <w:szCs w:val="24"/>
        </w:rPr>
        <w:t xml:space="preserve">state </w:t>
      </w:r>
      <w:r>
        <w:rPr>
          <w:rFonts w:ascii="Trebuchet MS"/>
          <w:sz w:val="24"/>
          <w:szCs w:val="24"/>
          <w:lang w:val="en-US"/>
        </w:rPr>
        <w:t>and corporate mechanisms that clamp down on municipal activism. This movement is a natural ally to the Global Municipalist Movement.</w:t>
      </w:r>
    </w:p>
    <w:p w14:paraId="692931BC" w14:textId="77777777" w:rsidR="00011774" w:rsidRDefault="00011774">
      <w:pPr>
        <w:pStyle w:val="BodyA"/>
        <w:spacing w:after="0"/>
        <w:rPr>
          <w:sz w:val="24"/>
          <w:szCs w:val="24"/>
        </w:rPr>
      </w:pPr>
    </w:p>
    <w:p w14:paraId="6C65DD2D" w14:textId="1C1C9882" w:rsidR="00011774" w:rsidRDefault="00273939">
      <w:pPr>
        <w:pStyle w:val="BodyA"/>
        <w:spacing w:after="0"/>
        <w:rPr>
          <w:sz w:val="24"/>
          <w:szCs w:val="24"/>
        </w:rPr>
      </w:pPr>
      <w:r>
        <w:rPr>
          <w:rFonts w:ascii="Trebuchet MS"/>
          <w:sz w:val="24"/>
          <w:szCs w:val="24"/>
          <w:lang w:val="en-US"/>
        </w:rPr>
        <w:t xml:space="preserve">Through the organizing efforts </w:t>
      </w:r>
      <w:r>
        <w:rPr>
          <w:rFonts w:ascii="Trebuchet MS"/>
          <w:sz w:val="24"/>
          <w:szCs w:val="24"/>
          <w:lang w:val="en-US"/>
        </w:rPr>
        <w:t>of CELDF, Movement Rights, and other groups,</w:t>
      </w:r>
      <w:r>
        <w:rPr>
          <w:rFonts w:ascii="Trebuchet MS"/>
          <w:sz w:val="24"/>
          <w:szCs w:val="24"/>
          <w:lang w:val="en-US"/>
        </w:rPr>
        <w:t xml:space="preserve"> </w:t>
      </w:r>
      <w:r>
        <w:rPr>
          <w:rFonts w:ascii="Trebuchet MS"/>
          <w:sz w:val="24"/>
          <w:szCs w:val="24"/>
          <w:lang w:val="en-US"/>
        </w:rPr>
        <w:t>hundreds of communities in the U.S. challenging state preemptions include small rural towns like Tamaqua, Pennsylvania, where the world</w:t>
      </w:r>
      <w:r>
        <w:rPr>
          <w:rFonts w:hAnsi="Trebuchet MS"/>
          <w:sz w:val="24"/>
          <w:szCs w:val="24"/>
          <w:lang w:val="fr-FR"/>
        </w:rPr>
        <w:t>’</w:t>
      </w:r>
      <w:r>
        <w:rPr>
          <w:rFonts w:ascii="Trebuchet MS"/>
          <w:sz w:val="24"/>
          <w:szCs w:val="24"/>
          <w:lang w:val="en-US"/>
        </w:rPr>
        <w:t>s very first non-indigenous recognition of inherent legal rights for</w:t>
      </w:r>
      <w:r>
        <w:rPr>
          <w:rFonts w:ascii="Trebuchet MS"/>
          <w:sz w:val="24"/>
          <w:szCs w:val="24"/>
          <w:lang w:val="en-US"/>
        </w:rPr>
        <w:t xml:space="preserve"> ecosystems was enacted in 2006, in the face of state plans to enter into a private-public venture to import industrial waste into the community for so-called </w:t>
      </w:r>
      <w:proofErr w:type="gramStart"/>
      <w:r>
        <w:rPr>
          <w:i/>
          <w:iCs/>
          <w:sz w:val="24"/>
          <w:szCs w:val="24"/>
          <w:lang w:val="en-US"/>
        </w:rPr>
        <w:t>mine</w:t>
      </w:r>
      <w:proofErr w:type="gramEnd"/>
      <w:r>
        <w:rPr>
          <w:i/>
          <w:iCs/>
          <w:sz w:val="24"/>
          <w:szCs w:val="24"/>
          <w:lang w:val="en-US"/>
        </w:rPr>
        <w:t xml:space="preserve"> reclamation. </w:t>
      </w:r>
      <w:r>
        <w:rPr>
          <w:rFonts w:ascii="Trebuchet MS"/>
          <w:sz w:val="24"/>
          <w:szCs w:val="24"/>
          <w:lang w:val="en-US"/>
        </w:rPr>
        <w:t xml:space="preserve">In Halifax, Virginia, the town ratified an ordinance in 2009 declaring a right </w:t>
      </w:r>
      <w:r>
        <w:rPr>
          <w:rFonts w:ascii="Trebuchet MS"/>
          <w:sz w:val="24"/>
          <w:szCs w:val="24"/>
          <w:lang w:val="en-US"/>
        </w:rPr>
        <w:t xml:space="preserve">of the community and their local environment to be free from toxic trespass </w:t>
      </w:r>
      <w:r>
        <w:rPr>
          <w:rFonts w:hAnsi="Trebuchet MS"/>
          <w:sz w:val="24"/>
          <w:szCs w:val="24"/>
          <w:lang w:val="en-US"/>
        </w:rPr>
        <w:t>—</w:t>
      </w:r>
      <w:r>
        <w:rPr>
          <w:rFonts w:hAnsi="Trebuchet MS"/>
          <w:sz w:val="24"/>
          <w:szCs w:val="24"/>
          <w:lang w:val="en-US"/>
        </w:rPr>
        <w:t xml:space="preserve"> </w:t>
      </w:r>
      <w:r>
        <w:rPr>
          <w:rFonts w:ascii="Trebuchet MS"/>
          <w:sz w:val="24"/>
          <w:szCs w:val="24"/>
          <w:lang w:val="en-US"/>
        </w:rPr>
        <w:t xml:space="preserve">in response to a looming uranium </w:t>
      </w:r>
      <w:proofErr w:type="gramStart"/>
      <w:r>
        <w:rPr>
          <w:rFonts w:ascii="Trebuchet MS"/>
          <w:sz w:val="24"/>
          <w:szCs w:val="24"/>
          <w:lang w:val="en-US"/>
        </w:rPr>
        <w:t>mine</w:t>
      </w:r>
      <w:proofErr w:type="gramEnd"/>
      <w:r>
        <w:rPr>
          <w:rFonts w:ascii="Trebuchet MS"/>
          <w:sz w:val="24"/>
          <w:szCs w:val="24"/>
          <w:lang w:val="en-US"/>
        </w:rPr>
        <w:t xml:space="preserve"> proposal</w:t>
      </w:r>
      <w:r w:rsidR="00612C9E">
        <w:rPr>
          <w:rFonts w:ascii="Trebuchet MS"/>
          <w:sz w:val="24"/>
          <w:szCs w:val="24"/>
          <w:lang w:val="en-US"/>
        </w:rPr>
        <w:t>.</w:t>
      </w:r>
      <w:r>
        <w:rPr>
          <w:rFonts w:ascii="Trebuchet MS"/>
          <w:sz w:val="24"/>
          <w:szCs w:val="24"/>
          <w:lang w:val="en-US"/>
        </w:rPr>
        <w:t xml:space="preserve"> In Pittsburgh, Pennsylvania, the City Council unanimously enacted a law banning fracking and recognizing the Rights</w:t>
      </w:r>
      <w:r>
        <w:rPr>
          <w:rFonts w:ascii="Trebuchet MS"/>
          <w:sz w:val="24"/>
          <w:szCs w:val="24"/>
          <w:lang w:val="en-US"/>
        </w:rPr>
        <w:t xml:space="preserve"> of Nature, under withering pressure from an activated community. With this ordinance, the City openly thumbed its nose at the state</w:t>
      </w:r>
      <w:r>
        <w:rPr>
          <w:rFonts w:hAnsi="Trebuchet MS"/>
          <w:sz w:val="24"/>
          <w:szCs w:val="24"/>
          <w:lang w:val="fr-FR"/>
        </w:rPr>
        <w:t>’</w:t>
      </w:r>
      <w:r>
        <w:rPr>
          <w:rFonts w:ascii="Trebuchet MS"/>
          <w:sz w:val="24"/>
          <w:szCs w:val="24"/>
          <w:lang w:val="en-US"/>
        </w:rPr>
        <w:t>s prohibition against local regulation of fossil fuel extraction. Successes like these expand political imaginations.</w:t>
      </w:r>
    </w:p>
    <w:p w14:paraId="1AE2E60F" w14:textId="77777777" w:rsidR="00011774" w:rsidRDefault="00011774">
      <w:pPr>
        <w:pStyle w:val="BodyA"/>
        <w:spacing w:after="0"/>
        <w:rPr>
          <w:sz w:val="24"/>
          <w:szCs w:val="24"/>
        </w:rPr>
      </w:pPr>
    </w:p>
    <w:p w14:paraId="0DA097B5" w14:textId="52B6E04E" w:rsidR="00011774" w:rsidRDefault="00273939">
      <w:pPr>
        <w:pStyle w:val="BodyA"/>
        <w:spacing w:after="0"/>
        <w:rPr>
          <w:sz w:val="24"/>
          <w:szCs w:val="24"/>
        </w:rPr>
      </w:pPr>
      <w:r>
        <w:rPr>
          <w:rFonts w:ascii="Trebuchet MS"/>
          <w:sz w:val="24"/>
          <w:szCs w:val="24"/>
          <w:lang w:val="en-US"/>
        </w:rPr>
        <w:t>In 2</w:t>
      </w:r>
      <w:r>
        <w:rPr>
          <w:rFonts w:ascii="Trebuchet MS"/>
          <w:sz w:val="24"/>
          <w:szCs w:val="24"/>
          <w:lang w:val="en-US"/>
        </w:rPr>
        <w:t xml:space="preserve">019 the </w:t>
      </w:r>
      <w:r>
        <w:rPr>
          <w:rFonts w:ascii="Trebuchet MS"/>
          <w:sz w:val="24"/>
          <w:szCs w:val="24"/>
        </w:rPr>
        <w:t>Denver</w:t>
      </w:r>
      <w:r>
        <w:rPr>
          <w:rFonts w:ascii="Trebuchet MS"/>
          <w:sz w:val="24"/>
          <w:szCs w:val="24"/>
          <w:lang w:val="en-US"/>
        </w:rPr>
        <w:t xml:space="preserve">, Colorado residents voted on a ballot initiative called </w:t>
      </w:r>
      <w:r>
        <w:rPr>
          <w:i/>
          <w:iCs/>
          <w:sz w:val="24"/>
          <w:szCs w:val="24"/>
          <w:lang w:val="en-US"/>
        </w:rPr>
        <w:t>The Right to Survive</w:t>
      </w:r>
      <w:r>
        <w:rPr>
          <w:rFonts w:ascii="Trebuchet MS"/>
          <w:sz w:val="24"/>
          <w:szCs w:val="24"/>
          <w:lang w:val="en-US"/>
        </w:rPr>
        <w:t xml:space="preserve"> ordinance that would have ended the City</w:t>
      </w:r>
      <w:r>
        <w:rPr>
          <w:rFonts w:hAnsi="Trebuchet MS"/>
          <w:sz w:val="24"/>
          <w:szCs w:val="24"/>
          <w:lang w:val="fr-FR"/>
        </w:rPr>
        <w:t>’</w:t>
      </w:r>
      <w:r>
        <w:rPr>
          <w:rFonts w:ascii="Trebuchet MS"/>
          <w:sz w:val="24"/>
          <w:szCs w:val="24"/>
          <w:lang w:val="en-US"/>
        </w:rPr>
        <w:t>s official policy of intolerance toward people without homes. It would establish a bill of rights for the propertyless, rec</w:t>
      </w:r>
      <w:r>
        <w:rPr>
          <w:rFonts w:ascii="Trebuchet MS"/>
          <w:sz w:val="24"/>
          <w:szCs w:val="24"/>
          <w:lang w:val="en-US"/>
        </w:rPr>
        <w:t>ognizing them as a class of people with civil rights. In this instance, the affluent hospitality industry, the chamber of commerce, real estate companies and pillars of the community mounted a well-funded campaign to defeat the measure. In</w:t>
      </w:r>
      <w:r>
        <w:rPr>
          <w:rFonts w:ascii="Trebuchet MS"/>
          <w:sz w:val="24"/>
          <w:szCs w:val="24"/>
        </w:rPr>
        <w:t xml:space="preserve"> Toledo, Ohio, </w:t>
      </w:r>
      <w:r>
        <w:rPr>
          <w:rFonts w:ascii="Trebuchet MS"/>
          <w:sz w:val="24"/>
          <w:szCs w:val="24"/>
          <w:lang w:val="en-US"/>
        </w:rPr>
        <w:t xml:space="preserve">a </w:t>
      </w:r>
      <w:r>
        <w:rPr>
          <w:rFonts w:ascii="Trebuchet MS"/>
          <w:sz w:val="24"/>
          <w:szCs w:val="24"/>
          <w:lang w:val="en-US"/>
        </w:rPr>
        <w:t xml:space="preserve">citizen-initiated ballot measure was passed by </w:t>
      </w:r>
      <w:r>
        <w:rPr>
          <w:rFonts w:ascii="Trebuchet MS"/>
          <w:sz w:val="24"/>
          <w:szCs w:val="24"/>
          <w:lang w:val="en-US"/>
        </w:rPr>
        <w:t>sixty</w:t>
      </w:r>
      <w:r w:rsidR="00612C9E">
        <w:rPr>
          <w:rFonts w:ascii="Trebuchet MS"/>
          <w:sz w:val="24"/>
          <w:szCs w:val="24"/>
          <w:lang w:val="en-US"/>
        </w:rPr>
        <w:t xml:space="preserve">-seven </w:t>
      </w:r>
      <w:r>
        <w:rPr>
          <w:rFonts w:ascii="Trebuchet MS"/>
          <w:sz w:val="24"/>
          <w:szCs w:val="24"/>
          <w:lang w:val="en-US"/>
        </w:rPr>
        <w:t xml:space="preserve">percent </w:t>
      </w:r>
      <w:r w:rsidR="00612C9E">
        <w:rPr>
          <w:rFonts w:ascii="Trebuchet MS"/>
          <w:sz w:val="24"/>
          <w:szCs w:val="24"/>
          <w:lang w:val="en-US"/>
        </w:rPr>
        <w:t xml:space="preserve">of voters </w:t>
      </w:r>
      <w:r>
        <w:rPr>
          <w:rFonts w:ascii="Trebuchet MS"/>
          <w:sz w:val="24"/>
          <w:szCs w:val="24"/>
          <w:lang w:val="en-US"/>
        </w:rPr>
        <w:t xml:space="preserve">to </w:t>
      </w:r>
      <w:r>
        <w:rPr>
          <w:rFonts w:ascii="Trebuchet MS"/>
          <w:sz w:val="24"/>
          <w:szCs w:val="24"/>
        </w:rPr>
        <w:t>recogniz</w:t>
      </w:r>
      <w:r>
        <w:rPr>
          <w:rFonts w:ascii="Trebuchet MS"/>
          <w:sz w:val="24"/>
          <w:szCs w:val="24"/>
          <w:lang w:val="en-US"/>
        </w:rPr>
        <w:t>e legal rights for Lake Erie, only to be challenged by an agribusiness corporation whose attorneys successfully argued the measure violated the civil rights of corporate property.</w:t>
      </w:r>
    </w:p>
    <w:p w14:paraId="64E8AE74" w14:textId="77777777" w:rsidR="00011774" w:rsidRDefault="00011774">
      <w:pPr>
        <w:pStyle w:val="BodyA"/>
        <w:spacing w:after="0"/>
        <w:rPr>
          <w:sz w:val="24"/>
          <w:szCs w:val="24"/>
        </w:rPr>
      </w:pPr>
    </w:p>
    <w:p w14:paraId="4D797EB8" w14:textId="77777777" w:rsidR="00011774" w:rsidRDefault="00273939">
      <w:pPr>
        <w:pStyle w:val="BodyA"/>
        <w:spacing w:after="0"/>
        <w:rPr>
          <w:sz w:val="24"/>
          <w:szCs w:val="24"/>
        </w:rPr>
      </w:pPr>
      <w:r>
        <w:rPr>
          <w:rFonts w:ascii="Trebuchet MS"/>
          <w:sz w:val="24"/>
          <w:szCs w:val="24"/>
          <w:lang w:val="en-US"/>
        </w:rPr>
        <w:t>The cyclical system of legal precedent, like a returning tide, may remove our sand castles and return the shoreline to the blandness of a political horizon on which we are not present. But there is something that is not wiped away when communities encoun</w:t>
      </w:r>
      <w:r>
        <w:rPr>
          <w:rFonts w:ascii="Trebuchet MS"/>
          <w:sz w:val="24"/>
          <w:szCs w:val="24"/>
          <w:lang w:val="en-US"/>
        </w:rPr>
        <w:t xml:space="preserve">ter the self-replicating status quo </w:t>
      </w:r>
      <w:r>
        <w:rPr>
          <w:rFonts w:hAnsi="Trebuchet MS"/>
          <w:sz w:val="24"/>
          <w:szCs w:val="24"/>
          <w:lang w:val="en-US"/>
        </w:rPr>
        <w:t>—</w:t>
      </w:r>
      <w:r>
        <w:rPr>
          <w:rFonts w:ascii="Trebuchet MS"/>
          <w:sz w:val="24"/>
          <w:szCs w:val="24"/>
          <w:lang w:val="en-US"/>
        </w:rPr>
        <w:t xml:space="preserve"> success cannot be measured only by immediate victories. Instead, progress can be traced in step-by-step public awakenings to official injustices and forms of non-linear change. These awakenings are initiated when commu</w:t>
      </w:r>
      <w:r>
        <w:rPr>
          <w:rFonts w:ascii="Trebuchet MS"/>
          <w:sz w:val="24"/>
          <w:szCs w:val="24"/>
          <w:lang w:val="en-US"/>
        </w:rPr>
        <w:t xml:space="preserve">nities dare to enact alternatives to injustice without seeking permission from the empire. </w:t>
      </w:r>
    </w:p>
    <w:p w14:paraId="48FF25DF" w14:textId="77777777" w:rsidR="00011774" w:rsidRDefault="00011774">
      <w:pPr>
        <w:pStyle w:val="BodyA"/>
        <w:spacing w:after="0"/>
        <w:rPr>
          <w:sz w:val="24"/>
          <w:szCs w:val="24"/>
        </w:rPr>
      </w:pPr>
    </w:p>
    <w:p w14:paraId="7F5CAB5B" w14:textId="77777777" w:rsidR="00011774" w:rsidRDefault="00273939">
      <w:pPr>
        <w:pStyle w:val="BodyA"/>
        <w:spacing w:after="0"/>
        <w:rPr>
          <w:sz w:val="24"/>
          <w:szCs w:val="24"/>
        </w:rPr>
      </w:pPr>
      <w:r>
        <w:rPr>
          <w:rFonts w:ascii="Trebuchet MS"/>
          <w:sz w:val="24"/>
          <w:szCs w:val="24"/>
          <w:lang w:val="en-US"/>
        </w:rPr>
        <w:lastRenderedPageBreak/>
        <w:t>And these awakenings slowly begin to birth entirely new paradigms of governance that cherish the indispensable role of local activism. For instance, over two decad</w:t>
      </w:r>
      <w:r>
        <w:rPr>
          <w:rFonts w:ascii="Trebuchet MS"/>
          <w:sz w:val="24"/>
          <w:szCs w:val="24"/>
          <w:lang w:val="en-US"/>
        </w:rPr>
        <w:t>es of organizing has resulted in coalition building and mobilization for state constitutional change in Pennsylvania and New Hampshire. (Most recently, constitutional change was re-introduced into the Pennsylvania Generally Assembly in fall 2021.)</w:t>
      </w:r>
    </w:p>
    <w:p w14:paraId="2126CFFA" w14:textId="77777777" w:rsidR="00011774" w:rsidRDefault="00011774">
      <w:pPr>
        <w:pStyle w:val="BodyA"/>
        <w:spacing w:after="0"/>
        <w:rPr>
          <w:sz w:val="24"/>
          <w:szCs w:val="24"/>
        </w:rPr>
      </w:pPr>
    </w:p>
    <w:p w14:paraId="69055E7E" w14:textId="77777777" w:rsidR="00011774" w:rsidRDefault="00273939">
      <w:pPr>
        <w:pStyle w:val="BodyA"/>
        <w:spacing w:after="0"/>
        <w:rPr>
          <w:sz w:val="24"/>
          <w:szCs w:val="24"/>
        </w:rPr>
      </w:pPr>
      <w:r>
        <w:rPr>
          <w:rFonts w:ascii="Trebuchet MS"/>
          <w:sz w:val="24"/>
          <w:szCs w:val="24"/>
          <w:lang w:val="en-US"/>
        </w:rPr>
        <w:t>This ad</w:t>
      </w:r>
      <w:r>
        <w:rPr>
          <w:rFonts w:ascii="Trebuchet MS"/>
          <w:sz w:val="24"/>
          <w:szCs w:val="24"/>
          <w:lang w:val="en-US"/>
        </w:rPr>
        <w:t>vancement of a macro vision that opens space for local self-determination in alignment with principles of social, racial and environmental justice is essential for our collective project. It also joins fertile efforts for such a macro vision, from around t</w:t>
      </w:r>
      <w:r>
        <w:rPr>
          <w:rFonts w:ascii="Trebuchet MS"/>
          <w:sz w:val="24"/>
          <w:szCs w:val="24"/>
          <w:lang w:val="en-US"/>
        </w:rPr>
        <w:t>he globe. In Spain</w:t>
      </w:r>
      <w:r>
        <w:rPr>
          <w:rFonts w:ascii="Times New Roman" w:eastAsia="Times New Roman" w:hAnsi="Times New Roman" w:cs="Times New Roman"/>
          <w:sz w:val="24"/>
          <w:szCs w:val="24"/>
          <w:vertAlign w:val="superscript"/>
        </w:rPr>
        <w:footnoteReference w:id="25"/>
      </w:r>
      <w:r>
        <w:rPr>
          <w:rFonts w:ascii="Trebuchet MS"/>
          <w:sz w:val="24"/>
          <w:szCs w:val="24"/>
          <w:lang w:val="en-US"/>
        </w:rPr>
        <w:t xml:space="preserve">, we see calls for the creation of a </w:t>
      </w:r>
      <w:proofErr w:type="spellStart"/>
      <w:r>
        <w:rPr>
          <w:rFonts w:ascii="Trebuchet MS"/>
          <w:sz w:val="24"/>
          <w:szCs w:val="24"/>
          <w:lang w:val="en-US"/>
        </w:rPr>
        <w:t>plurinational</w:t>
      </w:r>
      <w:proofErr w:type="spellEnd"/>
      <w:r>
        <w:rPr>
          <w:rFonts w:ascii="Trebuchet MS"/>
          <w:sz w:val="24"/>
          <w:szCs w:val="24"/>
          <w:lang w:val="en-US"/>
        </w:rPr>
        <w:t xml:space="preserve"> structure. This follows the </w:t>
      </w:r>
      <w:proofErr w:type="spellStart"/>
      <w:r>
        <w:rPr>
          <w:rFonts w:ascii="Trebuchet MS"/>
          <w:sz w:val="24"/>
          <w:szCs w:val="24"/>
          <w:lang w:val="en-US"/>
        </w:rPr>
        <w:t>plurinational</w:t>
      </w:r>
      <w:proofErr w:type="spellEnd"/>
      <w:r>
        <w:rPr>
          <w:rFonts w:ascii="Trebuchet MS"/>
          <w:sz w:val="24"/>
          <w:szCs w:val="24"/>
          <w:lang w:val="en-US"/>
        </w:rPr>
        <w:t xml:space="preserve"> project advanced, with contradictions</w:t>
      </w:r>
      <w:r>
        <w:rPr>
          <w:rFonts w:ascii="Times New Roman" w:eastAsia="Times New Roman" w:hAnsi="Times New Roman" w:cs="Times New Roman"/>
          <w:sz w:val="24"/>
          <w:szCs w:val="24"/>
          <w:vertAlign w:val="superscript"/>
        </w:rPr>
        <w:footnoteReference w:id="26"/>
      </w:r>
      <w:r>
        <w:rPr>
          <w:rFonts w:ascii="Trebuchet MS"/>
          <w:sz w:val="24"/>
          <w:szCs w:val="24"/>
          <w:lang w:val="en-US"/>
        </w:rPr>
        <w:t xml:space="preserve">, in Bolivia, and </w:t>
      </w:r>
      <w:proofErr w:type="spellStart"/>
      <w:r>
        <w:rPr>
          <w:rFonts w:ascii="Trebuchet MS"/>
          <w:sz w:val="24"/>
          <w:szCs w:val="24"/>
          <w:lang w:val="fr-FR"/>
        </w:rPr>
        <w:t>Indigenous</w:t>
      </w:r>
      <w:proofErr w:type="spellEnd"/>
      <w:r>
        <w:rPr>
          <w:rFonts w:ascii="Trebuchet MS"/>
          <w:sz w:val="24"/>
          <w:szCs w:val="24"/>
          <w:lang w:val="fr-FR"/>
        </w:rPr>
        <w:t xml:space="preserve"> </w:t>
      </w:r>
      <w:proofErr w:type="spellStart"/>
      <w:r>
        <w:rPr>
          <w:rFonts w:ascii="Trebuchet MS"/>
          <w:sz w:val="24"/>
          <w:szCs w:val="24"/>
          <w:lang w:val="fr-FR"/>
        </w:rPr>
        <w:t>demands</w:t>
      </w:r>
      <w:proofErr w:type="spellEnd"/>
      <w:r>
        <w:rPr>
          <w:rFonts w:ascii="Times New Roman" w:eastAsia="Times New Roman" w:hAnsi="Times New Roman" w:cs="Times New Roman"/>
          <w:sz w:val="24"/>
          <w:szCs w:val="24"/>
          <w:vertAlign w:val="superscript"/>
        </w:rPr>
        <w:footnoteReference w:id="27"/>
      </w:r>
      <w:r>
        <w:rPr>
          <w:rFonts w:ascii="Trebuchet MS"/>
          <w:sz w:val="24"/>
          <w:szCs w:val="24"/>
          <w:lang w:val="en-US"/>
        </w:rPr>
        <w:t xml:space="preserve"> for the Guatemalan government to establish a </w:t>
      </w:r>
      <w:proofErr w:type="spellStart"/>
      <w:r>
        <w:rPr>
          <w:rFonts w:ascii="Trebuchet MS"/>
          <w:sz w:val="24"/>
          <w:szCs w:val="24"/>
          <w:lang w:val="en-US"/>
        </w:rPr>
        <w:t>plurinational</w:t>
      </w:r>
      <w:proofErr w:type="spellEnd"/>
      <w:r>
        <w:rPr>
          <w:rFonts w:ascii="Trebuchet MS"/>
          <w:sz w:val="24"/>
          <w:szCs w:val="24"/>
          <w:lang w:val="en-US"/>
        </w:rPr>
        <w:t xml:space="preserve"> state. Constitutional demands in Chile</w:t>
      </w:r>
      <w:r>
        <w:rPr>
          <w:rFonts w:ascii="Times New Roman" w:eastAsia="Times New Roman" w:hAnsi="Times New Roman" w:cs="Times New Roman"/>
          <w:sz w:val="24"/>
          <w:szCs w:val="24"/>
          <w:vertAlign w:val="superscript"/>
        </w:rPr>
        <w:footnoteReference w:id="28"/>
      </w:r>
      <w:r>
        <w:rPr>
          <w:rFonts w:ascii="Trebuchet MS"/>
          <w:sz w:val="24"/>
          <w:szCs w:val="24"/>
          <w:lang w:val="en-US"/>
        </w:rPr>
        <w:t xml:space="preserve"> are also being raised for a similarly balanced and liberatory </w:t>
      </w:r>
      <w:proofErr w:type="spellStart"/>
      <w:r>
        <w:rPr>
          <w:rFonts w:ascii="Trebuchet MS"/>
          <w:sz w:val="24"/>
          <w:szCs w:val="24"/>
          <w:lang w:val="en-US"/>
        </w:rPr>
        <w:t>plurinationalism</w:t>
      </w:r>
      <w:proofErr w:type="spellEnd"/>
      <w:r>
        <w:rPr>
          <w:rFonts w:ascii="Trebuchet MS"/>
          <w:sz w:val="24"/>
          <w:szCs w:val="24"/>
          <w:lang w:val="en-US"/>
        </w:rPr>
        <w:t>. Demands are rising around the globe for principled decentralizations of pol</w:t>
      </w:r>
      <w:r>
        <w:rPr>
          <w:rFonts w:ascii="Trebuchet MS"/>
          <w:sz w:val="24"/>
          <w:szCs w:val="24"/>
          <w:lang w:val="en-US"/>
        </w:rPr>
        <w:t>itical power, including in Iraq</w:t>
      </w:r>
      <w:r>
        <w:rPr>
          <w:rFonts w:ascii="Times New Roman" w:eastAsia="Times New Roman" w:hAnsi="Times New Roman" w:cs="Times New Roman"/>
          <w:sz w:val="24"/>
          <w:szCs w:val="24"/>
          <w:vertAlign w:val="superscript"/>
        </w:rPr>
        <w:footnoteReference w:id="29"/>
      </w:r>
      <w:r>
        <w:rPr>
          <w:rFonts w:ascii="Trebuchet MS"/>
          <w:sz w:val="24"/>
          <w:szCs w:val="24"/>
          <w:lang w:val="en-US"/>
        </w:rPr>
        <w:t xml:space="preserve"> in response to centralized power structures.</w:t>
      </w:r>
    </w:p>
    <w:p w14:paraId="0E06FC37" w14:textId="77777777" w:rsidR="00011774" w:rsidRDefault="00011774">
      <w:pPr>
        <w:pStyle w:val="BodyA"/>
        <w:spacing w:after="0"/>
        <w:rPr>
          <w:sz w:val="24"/>
          <w:szCs w:val="24"/>
        </w:rPr>
      </w:pPr>
    </w:p>
    <w:p w14:paraId="3D0687CC" w14:textId="77777777" w:rsidR="00011774" w:rsidRDefault="00273939">
      <w:pPr>
        <w:pStyle w:val="BodyA"/>
        <w:spacing w:after="0"/>
      </w:pPr>
      <w:r>
        <w:rPr>
          <w:rFonts w:ascii="Trebuchet MS"/>
          <w:sz w:val="24"/>
          <w:szCs w:val="24"/>
          <w:lang w:val="en-US"/>
        </w:rPr>
        <w:t>To be sure, there are many instances in which U.S. cities have successfully resisted federal and state dictates. Sanctuary city policies have created forms of safety for people</w:t>
      </w:r>
      <w:r>
        <w:rPr>
          <w:rFonts w:ascii="Trebuchet MS"/>
          <w:sz w:val="24"/>
          <w:szCs w:val="24"/>
          <w:lang w:val="en-US"/>
        </w:rPr>
        <w:t xml:space="preserve"> persecuted by official predation. A nascent campaign to defund police aggression against the communities that fund them is forming. Participants in the Community Rights Movement in the U.S. have benefited from Murray Bookchin</w:t>
      </w:r>
      <w:r>
        <w:rPr>
          <w:rFonts w:hAnsi="Trebuchet MS"/>
          <w:sz w:val="24"/>
          <w:szCs w:val="24"/>
          <w:lang w:val="fr-FR"/>
        </w:rPr>
        <w:t>’</w:t>
      </w:r>
      <w:r>
        <w:rPr>
          <w:rFonts w:ascii="Trebuchet MS"/>
          <w:sz w:val="24"/>
          <w:szCs w:val="24"/>
          <w:lang w:val="en-US"/>
        </w:rPr>
        <w:t>s invaluable work and look to</w:t>
      </w:r>
      <w:r>
        <w:rPr>
          <w:rFonts w:ascii="Trebuchet MS"/>
          <w:sz w:val="24"/>
          <w:szCs w:val="24"/>
          <w:lang w:val="en-US"/>
        </w:rPr>
        <w:t xml:space="preserve"> examples in the Global Municipalist Movement for next steps. These communities are eager to share with fearless cities around the globe what they have learned by daring to enact local legislation and envision structural change that embodies needed revolut</w:t>
      </w:r>
      <w:r>
        <w:rPr>
          <w:rFonts w:ascii="Trebuchet MS"/>
          <w:sz w:val="24"/>
          <w:szCs w:val="24"/>
          <w:lang w:val="en-US"/>
        </w:rPr>
        <w:t>ionary change.</w:t>
      </w:r>
      <w:r>
        <w:rPr>
          <w:rFonts w:ascii="Trebuchet MS"/>
          <w:sz w:val="24"/>
          <w:szCs w:val="24"/>
        </w:rPr>
        <w:t xml:space="preserve"> </w:t>
      </w:r>
      <w:r>
        <w:rPr>
          <w:rFonts w:ascii="Trebuchet MS"/>
          <w:sz w:val="24"/>
          <w:szCs w:val="24"/>
          <w:lang w:val="en-US"/>
        </w:rPr>
        <w:t>They are keen to learn of other ways to create alternatives to entrenched injustice that can bring to reality peoples</w:t>
      </w:r>
      <w:r>
        <w:rPr>
          <w:rFonts w:hAnsi="Trebuchet MS"/>
          <w:sz w:val="24"/>
          <w:szCs w:val="24"/>
          <w:lang w:val="en-US"/>
        </w:rPr>
        <w:t>’</w:t>
      </w:r>
      <w:r>
        <w:rPr>
          <w:rFonts w:hAnsi="Trebuchet MS"/>
          <w:sz w:val="24"/>
          <w:szCs w:val="24"/>
          <w:lang w:val="en-US"/>
        </w:rPr>
        <w:t xml:space="preserve"> </w:t>
      </w:r>
      <w:r>
        <w:rPr>
          <w:rFonts w:ascii="Trebuchet MS"/>
          <w:sz w:val="24"/>
          <w:szCs w:val="24"/>
          <w:lang w:val="en-US"/>
        </w:rPr>
        <w:t xml:space="preserve">aspirations for genuine </w:t>
      </w:r>
      <w:r>
        <w:rPr>
          <w:rFonts w:ascii="Trebuchet MS"/>
          <w:sz w:val="24"/>
          <w:szCs w:val="24"/>
        </w:rPr>
        <w:t xml:space="preserve">democracy </w:t>
      </w:r>
      <w:r>
        <w:rPr>
          <w:rFonts w:ascii="Trebuchet MS"/>
          <w:sz w:val="24"/>
          <w:szCs w:val="24"/>
          <w:lang w:val="en-US"/>
        </w:rPr>
        <w:t>that protects people and the planet.</w:t>
      </w:r>
    </w:p>
    <w:sectPr w:rsidR="00011774">
      <w:headerReference w:type="default" r:id="rId7"/>
      <w:footerReference w:type="default" r:id="rId8"/>
      <w:pgSz w:w="12240" w:h="15840"/>
      <w:pgMar w:top="17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8957" w14:textId="77777777" w:rsidR="00273939" w:rsidRDefault="00273939">
      <w:r>
        <w:separator/>
      </w:r>
    </w:p>
  </w:endnote>
  <w:endnote w:type="continuationSeparator" w:id="0">
    <w:p w14:paraId="13EB6A44" w14:textId="77777777" w:rsidR="00273939" w:rsidRDefault="0027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F45B" w14:textId="77777777" w:rsidR="00011774" w:rsidRDefault="0001177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AE30" w14:textId="77777777" w:rsidR="00273939" w:rsidRDefault="00273939">
      <w:r>
        <w:separator/>
      </w:r>
    </w:p>
  </w:footnote>
  <w:footnote w:type="continuationSeparator" w:id="0">
    <w:p w14:paraId="25561096" w14:textId="77777777" w:rsidR="00273939" w:rsidRDefault="00273939">
      <w:r>
        <w:continuationSeparator/>
      </w:r>
    </w:p>
  </w:footnote>
  <w:footnote w:type="continuationNotice" w:id="1">
    <w:p w14:paraId="7C402B49" w14:textId="77777777" w:rsidR="00273939" w:rsidRDefault="00273939"/>
  </w:footnote>
  <w:footnote w:id="2">
    <w:p w14:paraId="0EC4939C"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rPr>
        <w:footnoteRef/>
      </w:r>
      <w:r>
        <w:rPr>
          <w:rFonts w:ascii="Trebuchet MS"/>
          <w:sz w:val="20"/>
          <w:szCs w:val="20"/>
          <w:shd w:val="clear" w:color="auto" w:fill="FFFFFF"/>
          <w:lang w:val="en-US"/>
        </w:rPr>
        <w:t xml:space="preserve"> Price, Ben G., Berrett-Koehler Publishers, 2019</w:t>
      </w:r>
    </w:p>
  </w:footnote>
  <w:footnote w:id="3">
    <w:p w14:paraId="265F747B"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1" w:history="1">
        <w:r>
          <w:rPr>
            <w:rStyle w:val="Hyperlink0"/>
          </w:rPr>
          <w:t>https://www.nlc.org/wp-content/uploads/2020/02/Home-Rule-Principles-ReportWEB-2-1.pdf</w:t>
        </w:r>
      </w:hyperlink>
      <w:r>
        <w:rPr>
          <w:rFonts w:ascii="Trebuchet MS"/>
        </w:rPr>
        <w:t xml:space="preserve"> </w:t>
      </w:r>
    </w:p>
  </w:footnote>
  <w:footnote w:id="4">
    <w:p w14:paraId="37045DFD"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rPr>
        <w:footnoteRef/>
      </w:r>
      <w:r>
        <w:rPr>
          <w:rFonts w:ascii="Trebuchet MS"/>
        </w:rPr>
        <w:t xml:space="preserve"> </w:t>
      </w:r>
      <w:r>
        <w:rPr>
          <w:rFonts w:ascii="Trebuchet MS"/>
          <w:lang w:val="en-US"/>
        </w:rPr>
        <w:t xml:space="preserve">As demonstrated in the United States by the increased awareness and scrutiny of arbitrary forms of </w:t>
      </w:r>
      <w:r>
        <w:rPr>
          <w:rFonts w:hAnsi="Trebuchet MS"/>
          <w:lang w:val="en-US"/>
        </w:rPr>
        <w:t>“</w:t>
      </w:r>
      <w:r>
        <w:rPr>
          <w:rFonts w:ascii="Trebuchet MS"/>
          <w:lang w:val="en-US"/>
        </w:rPr>
        <w:t>state preemption</w:t>
      </w:r>
      <w:r>
        <w:rPr>
          <w:rFonts w:hAnsi="Trebuchet MS"/>
          <w:lang w:val="en-US"/>
        </w:rPr>
        <w:t>”</w:t>
      </w:r>
      <w:r>
        <w:rPr>
          <w:rFonts w:ascii="Trebuchet MS"/>
          <w:lang w:val="en-US"/>
        </w:rPr>
        <w:t xml:space="preserve"> whereby state governments unilaterally rescind an</w:t>
      </w:r>
      <w:r>
        <w:rPr>
          <w:rFonts w:ascii="Trebuchet MS"/>
          <w:lang w:val="en-US"/>
        </w:rPr>
        <w:t>d restrict the legal scope of municipal activism that strengthens protections for workers, renters, the environment and the houseless.</w:t>
      </w:r>
    </w:p>
  </w:footnote>
  <w:footnote w:id="5">
    <w:p w14:paraId="3D967B71"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2" w:history="1">
        <w:r>
          <w:rPr>
            <w:rStyle w:val="Hyperlink0"/>
          </w:rPr>
          <w:t>https://www.supportdemocracy.org/racial-justice</w:t>
        </w:r>
      </w:hyperlink>
      <w:r>
        <w:rPr>
          <w:rFonts w:ascii="Trebuchet MS"/>
        </w:rPr>
        <w:t xml:space="preserve"> </w:t>
      </w:r>
    </w:p>
  </w:footnote>
  <w:footnote w:id="6">
    <w:p w14:paraId="510A714C"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3" w:history="1">
        <w:r>
          <w:rPr>
            <w:rStyle w:val="Hyperlink0"/>
          </w:rPr>
          <w:t>https://scalawagmagazine.org/2019/11/virginia-property-discrimination/</w:t>
        </w:r>
      </w:hyperlink>
      <w:r>
        <w:rPr>
          <w:rFonts w:ascii="Trebuchet MS"/>
        </w:rPr>
        <w:t xml:space="preserve"> </w:t>
      </w:r>
    </w:p>
  </w:footnote>
  <w:footnote w:id="7">
    <w:p w14:paraId="18A942E2" w14:textId="77777777" w:rsidR="00011774" w:rsidRDefault="00273939">
      <w:pPr>
        <w:pStyle w:val="BodyA"/>
        <w:shd w:val="clear" w:color="auto" w:fill="FFFFFF"/>
        <w:spacing w:after="0" w:line="240" w:lineRule="auto"/>
      </w:pPr>
      <w:r>
        <w:rPr>
          <w:vertAlign w:val="superscript"/>
        </w:rPr>
        <w:footnoteRef/>
      </w:r>
      <w:r>
        <w:rPr>
          <w:rFonts w:ascii="Trebuchet MS"/>
        </w:rPr>
        <w:t xml:space="preserve"> </w:t>
      </w:r>
      <w:hyperlink r:id="rId4" w:history="1">
        <w:r>
          <w:rPr>
            <w:rStyle w:val="Hyperlink1"/>
            <w:rFonts w:ascii="Trebuchet MS"/>
          </w:rPr>
          <w:t>https://www.epi.org/publ</w:t>
        </w:r>
        <w:r>
          <w:rPr>
            <w:rStyle w:val="Hyperlink1"/>
            <w:rFonts w:ascii="Trebuchet MS"/>
          </w:rPr>
          <w:t>ication/preemption-in-the-midwest/</w:t>
        </w:r>
      </w:hyperlink>
      <w:r>
        <w:rPr>
          <w:rFonts w:ascii="Trebuchet MS"/>
        </w:rPr>
        <w:t xml:space="preserve"> </w:t>
      </w:r>
    </w:p>
  </w:footnote>
  <w:footnote w:id="8">
    <w:p w14:paraId="30779C83"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5" w:history="1">
        <w:r>
          <w:rPr>
            <w:rStyle w:val="Hyperlink0"/>
          </w:rPr>
          <w:t>https://inthesetimes.com/article/local-politics-states-emergency-management-reconstruction-righ</w:t>
        </w:r>
        <w:r>
          <w:rPr>
            <w:rStyle w:val="Hyperlink0"/>
          </w:rPr>
          <w:t>t-wing-alec</w:t>
        </w:r>
      </w:hyperlink>
      <w:r>
        <w:rPr>
          <w:rFonts w:ascii="Trebuchet MS"/>
        </w:rPr>
        <w:t xml:space="preserve"> </w:t>
      </w:r>
    </w:p>
  </w:footnote>
  <w:footnote w:id="9">
    <w:p w14:paraId="77BC2135" w14:textId="77777777" w:rsidR="00011774" w:rsidRDefault="00273939">
      <w:pPr>
        <w:pStyle w:val="BodyA"/>
        <w:shd w:val="clear" w:color="auto" w:fill="FFFFFF"/>
        <w:spacing w:after="0" w:line="240" w:lineRule="auto"/>
      </w:pPr>
      <w:r>
        <w:rPr>
          <w:i/>
          <w:iCs/>
          <w:sz w:val="24"/>
          <w:szCs w:val="24"/>
          <w:vertAlign w:val="superscript"/>
        </w:rPr>
        <w:footnoteRef/>
      </w:r>
      <w:r>
        <w:rPr>
          <w:rFonts w:ascii="Trebuchet MS"/>
          <w:sz w:val="20"/>
          <w:szCs w:val="20"/>
          <w:shd w:val="clear" w:color="auto" w:fill="FFFFFF"/>
        </w:rPr>
        <w:t xml:space="preserve"> </w:t>
      </w:r>
      <w:r>
        <w:rPr>
          <w:i/>
          <w:iCs/>
          <w:sz w:val="20"/>
          <w:szCs w:val="20"/>
          <w:shd w:val="clear" w:color="auto" w:fill="FFFFFF"/>
          <w:lang w:val="en-US"/>
        </w:rPr>
        <w:t>Growth and Decadence of Constitutional Government</w:t>
      </w:r>
      <w:r>
        <w:rPr>
          <w:rFonts w:ascii="Trebuchet MS"/>
          <w:sz w:val="20"/>
          <w:szCs w:val="20"/>
          <w:shd w:val="clear" w:color="auto" w:fill="FFFFFF"/>
          <w:lang w:val="en-US"/>
        </w:rPr>
        <w:t xml:space="preserve"> Chapter XI: Individual Liberty and the Constitution - The doctrine of vested rights          p.299</w:t>
      </w:r>
    </w:p>
  </w:footnote>
  <w:footnote w:id="10">
    <w:p w14:paraId="0752E35F"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rPr>
        <w:footnoteRef/>
      </w:r>
      <w:r>
        <w:rPr>
          <w:rFonts w:ascii="Trebuchet MS"/>
          <w:sz w:val="20"/>
          <w:szCs w:val="20"/>
          <w:shd w:val="clear" w:color="auto" w:fill="FFFFFF"/>
        </w:rPr>
        <w:t xml:space="preserve">   </w:t>
      </w:r>
      <w:r>
        <w:rPr>
          <w:rFonts w:ascii="Trebuchet MS"/>
          <w:sz w:val="20"/>
          <w:szCs w:val="20"/>
          <w:shd w:val="clear" w:color="auto" w:fill="FFFFFF"/>
        </w:rPr>
        <w:t xml:space="preserve">Frug, Gerald E., </w:t>
      </w:r>
      <w:r>
        <w:rPr>
          <w:rFonts w:hAnsi="Trebuchet MS"/>
          <w:sz w:val="20"/>
          <w:szCs w:val="20"/>
          <w:shd w:val="clear" w:color="auto" w:fill="FFFFFF"/>
          <w:lang w:val="en-US"/>
        </w:rPr>
        <w:t>“</w:t>
      </w:r>
      <w:r>
        <w:rPr>
          <w:rFonts w:ascii="Trebuchet MS"/>
          <w:sz w:val="20"/>
          <w:szCs w:val="20"/>
          <w:shd w:val="clear" w:color="auto" w:fill="FFFFFF"/>
          <w:lang w:val="en-US"/>
        </w:rPr>
        <w:t xml:space="preserve">The City </w:t>
      </w:r>
      <w:proofErr w:type="gramStart"/>
      <w:r>
        <w:rPr>
          <w:rFonts w:ascii="Trebuchet MS"/>
          <w:sz w:val="20"/>
          <w:szCs w:val="20"/>
          <w:shd w:val="clear" w:color="auto" w:fill="FFFFFF"/>
          <w:lang w:val="en-US"/>
        </w:rPr>
        <w:t>As</w:t>
      </w:r>
      <w:proofErr w:type="gramEnd"/>
      <w:r>
        <w:rPr>
          <w:rFonts w:ascii="Trebuchet MS"/>
          <w:sz w:val="20"/>
          <w:szCs w:val="20"/>
          <w:shd w:val="clear" w:color="auto" w:fill="FFFFFF"/>
          <w:lang w:val="en-US"/>
        </w:rPr>
        <w:t xml:space="preserve"> A Legal Concept,</w:t>
      </w:r>
      <w:r>
        <w:rPr>
          <w:rFonts w:hAnsi="Trebuchet MS"/>
          <w:sz w:val="20"/>
          <w:szCs w:val="20"/>
          <w:shd w:val="clear" w:color="auto" w:fill="FFFFFF"/>
          <w:lang w:val="en-US"/>
        </w:rPr>
        <w:t>”</w:t>
      </w:r>
      <w:r>
        <w:rPr>
          <w:rFonts w:hAnsi="Trebuchet MS"/>
          <w:sz w:val="20"/>
          <w:szCs w:val="20"/>
          <w:shd w:val="clear" w:color="auto" w:fill="FFFFFF"/>
          <w:lang w:val="en-US"/>
        </w:rPr>
        <w:t xml:space="preserve"> </w:t>
      </w:r>
      <w:r>
        <w:rPr>
          <w:rFonts w:ascii="Trebuchet MS"/>
          <w:sz w:val="20"/>
          <w:szCs w:val="20"/>
          <w:shd w:val="clear" w:color="auto" w:fill="FFFFFF"/>
          <w:lang w:val="en-US"/>
        </w:rPr>
        <w:t>Harvard Law Review, Volume 93, Number 6, April 1980, p. 1069 (Thanks to Richard Grossman for bringing th</w:t>
      </w:r>
      <w:r>
        <w:rPr>
          <w:rFonts w:ascii="Trebuchet MS"/>
          <w:sz w:val="20"/>
          <w:szCs w:val="20"/>
          <w:shd w:val="clear" w:color="auto" w:fill="FFFFFF"/>
          <w:lang w:val="en-US"/>
        </w:rPr>
        <w:t>is article to my attention)</w:t>
      </w:r>
    </w:p>
  </w:footnote>
  <w:footnote w:id="11">
    <w:p w14:paraId="11E96365"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6" w:history="1">
        <w:r>
          <w:rPr>
            <w:rStyle w:val="Hyperlink0"/>
          </w:rPr>
          <w:t>https://celdf.org/2020/06/celdf-report-corporations-are-suing-cities-across-the-usa/</w:t>
        </w:r>
      </w:hyperlink>
      <w:r>
        <w:rPr>
          <w:rFonts w:ascii="Trebuchet MS"/>
        </w:rPr>
        <w:t xml:space="preserve"> </w:t>
      </w:r>
    </w:p>
  </w:footnote>
  <w:footnote w:id="12">
    <w:p w14:paraId="4196CFCA"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rPr>
        <w:footnoteRef/>
      </w:r>
      <w:r>
        <w:rPr>
          <w:rFonts w:ascii="Trebuchet MS"/>
          <w:sz w:val="20"/>
          <w:szCs w:val="20"/>
          <w:shd w:val="clear" w:color="auto" w:fill="FFFFFF"/>
          <w:lang w:val="es-ES_tradnl"/>
        </w:rPr>
        <w:t xml:space="preserve"> John Forrest Dillon, LL. D, </w:t>
      </w:r>
      <w:r>
        <w:rPr>
          <w:i/>
          <w:iCs/>
          <w:sz w:val="20"/>
          <w:szCs w:val="20"/>
          <w:shd w:val="clear" w:color="auto" w:fill="FFFFFF"/>
          <w:lang w:val="en-US"/>
        </w:rPr>
        <w:t>Commentaries on the Law of Municipal Corporations</w:t>
      </w:r>
      <w:r>
        <w:rPr>
          <w:rFonts w:ascii="Trebuchet MS"/>
          <w:sz w:val="20"/>
          <w:szCs w:val="20"/>
          <w:shd w:val="clear" w:color="auto" w:fill="FFFFFF"/>
          <w:lang w:val="en-US"/>
        </w:rPr>
        <w:t>, 5th ed, Boston, Little, Brown, and Company, Fifth Edition, Vol. 1, 1911, pp. 1:154</w:t>
      </w:r>
      <w:r>
        <w:rPr>
          <w:rFonts w:hAnsi="Trebuchet MS"/>
          <w:sz w:val="20"/>
          <w:szCs w:val="20"/>
          <w:shd w:val="clear" w:color="auto" w:fill="FFFFFF"/>
          <w:lang w:val="en-US"/>
        </w:rPr>
        <w:t>–</w:t>
      </w:r>
      <w:r>
        <w:rPr>
          <w:rFonts w:ascii="Trebuchet MS"/>
          <w:sz w:val="20"/>
          <w:szCs w:val="20"/>
          <w:shd w:val="clear" w:color="auto" w:fill="FFFFFF"/>
        </w:rPr>
        <w:t>-156.</w:t>
      </w:r>
    </w:p>
  </w:footnote>
  <w:footnote w:id="13">
    <w:p w14:paraId="51AE57C4"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rPr>
        <w:footnoteRef/>
      </w:r>
      <w:r>
        <w:rPr>
          <w:rFonts w:ascii="Trebuchet MS"/>
          <w:sz w:val="20"/>
          <w:szCs w:val="20"/>
          <w:shd w:val="clear" w:color="auto" w:fill="FFFFFF"/>
          <w:lang w:val="de-DE"/>
        </w:rPr>
        <w:t xml:space="preserve"> </w:t>
      </w:r>
      <w:r>
        <w:rPr>
          <w:rFonts w:ascii="Trebuchet MS"/>
          <w:sz w:val="20"/>
          <w:szCs w:val="20"/>
          <w:shd w:val="clear" w:color="auto" w:fill="FFFFFF"/>
          <w:lang w:val="de-DE"/>
        </w:rPr>
        <w:t xml:space="preserve">Ben G. Price, </w:t>
      </w:r>
      <w:r>
        <w:rPr>
          <w:i/>
          <w:iCs/>
          <w:sz w:val="20"/>
          <w:szCs w:val="20"/>
          <w:shd w:val="clear" w:color="auto" w:fill="FFFFFF"/>
          <w:lang w:val="en-US"/>
        </w:rPr>
        <w:t xml:space="preserve">How Wealth Rules the World: Saving Our Communities and Freedoms from the Dictatorship of Property, </w:t>
      </w:r>
      <w:r>
        <w:rPr>
          <w:rFonts w:ascii="Trebuchet MS"/>
          <w:sz w:val="20"/>
          <w:szCs w:val="20"/>
          <w:shd w:val="clear" w:color="auto" w:fill="FFFFFF"/>
          <w:lang w:val="en-US"/>
        </w:rPr>
        <w:t>Berrett-Koehler Publishers, 2019</w:t>
      </w:r>
    </w:p>
  </w:footnote>
  <w:footnote w:id="14">
    <w:p w14:paraId="2869DCCF"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7" w:history="1">
        <w:r>
          <w:rPr>
            <w:rStyle w:val="Hyperlink0"/>
          </w:rPr>
          <w:t>https://celdf.org/2020/06/celdf-report-corporations-are-suing-cities-across-the-usa/</w:t>
        </w:r>
      </w:hyperlink>
      <w:r>
        <w:rPr>
          <w:rFonts w:ascii="Trebuchet MS"/>
        </w:rPr>
        <w:t xml:space="preserve"> </w:t>
      </w:r>
    </w:p>
  </w:footnote>
  <w:footnote w:id="15">
    <w:p w14:paraId="0048CC8B" w14:textId="77777777" w:rsidR="00011774" w:rsidRDefault="00273939">
      <w:pPr>
        <w:pStyle w:val="BodyA"/>
        <w:shd w:val="clear" w:color="auto" w:fill="FFFFFF"/>
        <w:spacing w:after="0" w:line="240" w:lineRule="auto"/>
      </w:pPr>
      <w:r>
        <w:rPr>
          <w:i/>
          <w:iCs/>
          <w:sz w:val="24"/>
          <w:szCs w:val="24"/>
          <w:vertAlign w:val="superscript"/>
        </w:rPr>
        <w:footnoteRef/>
      </w:r>
      <w:r>
        <w:rPr>
          <w:rFonts w:ascii="Trebuchet MS"/>
          <w:sz w:val="20"/>
          <w:szCs w:val="20"/>
          <w:shd w:val="clear" w:color="auto" w:fill="FFFFFF"/>
        </w:rPr>
        <w:t xml:space="preserve"> </w:t>
      </w:r>
      <w:r>
        <w:rPr>
          <w:i/>
          <w:iCs/>
          <w:sz w:val="20"/>
          <w:szCs w:val="20"/>
          <w:shd w:val="clear" w:color="auto" w:fill="FFFFFF"/>
          <w:lang w:val="en-US"/>
        </w:rPr>
        <w:t>The Spirit of American Government</w:t>
      </w:r>
      <w:r>
        <w:rPr>
          <w:rFonts w:ascii="Trebuchet MS"/>
          <w:sz w:val="20"/>
          <w:szCs w:val="20"/>
          <w:shd w:val="clear" w:color="auto" w:fill="FFFFFF"/>
          <w:lang w:val="nl-NL"/>
        </w:rPr>
        <w:t xml:space="preserve">, Chapter X: </w:t>
      </w:r>
      <w:r>
        <w:rPr>
          <w:rFonts w:hAnsi="Trebuchet MS"/>
          <w:sz w:val="20"/>
          <w:szCs w:val="20"/>
          <w:shd w:val="clear" w:color="auto" w:fill="FFFFFF"/>
          <w:lang w:val="en-US"/>
        </w:rPr>
        <w:t>“</w:t>
      </w:r>
      <w:r>
        <w:rPr>
          <w:rFonts w:ascii="Trebuchet MS"/>
          <w:sz w:val="20"/>
          <w:szCs w:val="20"/>
          <w:shd w:val="clear" w:color="auto" w:fill="FFFFFF"/>
          <w:lang w:val="en-US"/>
        </w:rPr>
        <w:t>Municipal Government</w:t>
      </w:r>
      <w:r>
        <w:rPr>
          <w:rFonts w:hAnsi="Trebuchet MS"/>
          <w:sz w:val="20"/>
          <w:szCs w:val="20"/>
          <w:shd w:val="clear" w:color="auto" w:fill="FFFFFF"/>
          <w:lang w:val="en-US"/>
        </w:rPr>
        <w:t>”</w:t>
      </w:r>
      <w:r>
        <w:rPr>
          <w:rFonts w:hAnsi="Trebuchet MS"/>
          <w:sz w:val="20"/>
          <w:szCs w:val="20"/>
          <w:shd w:val="clear" w:color="auto" w:fill="FFFFFF"/>
          <w:lang w:val="en-US"/>
        </w:rPr>
        <w:t xml:space="preserve"> </w:t>
      </w:r>
      <w:r>
        <w:rPr>
          <w:rFonts w:ascii="Trebuchet MS"/>
          <w:sz w:val="20"/>
          <w:szCs w:val="20"/>
          <w:shd w:val="clear" w:color="auto" w:fill="FFFFFF"/>
          <w:lang w:val="en-US"/>
        </w:rPr>
        <w:t>The Macmillan Company 1907 p. 277</w:t>
      </w:r>
    </w:p>
  </w:footnote>
  <w:footnote w:id="16">
    <w:p w14:paraId="03DB8DB9"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8" w:history="1">
        <w:r>
          <w:rPr>
            <w:rStyle w:val="Hyperlink0"/>
          </w:rPr>
          <w:t>https://www.supportdemocracy.org/preemption</w:t>
        </w:r>
      </w:hyperlink>
      <w:r>
        <w:rPr>
          <w:rFonts w:ascii="Trebuchet MS"/>
        </w:rPr>
        <w:t xml:space="preserve"> </w:t>
      </w:r>
    </w:p>
  </w:footnote>
  <w:footnote w:id="17">
    <w:p w14:paraId="18D89F8B"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9" w:history="1">
        <w:r>
          <w:rPr>
            <w:rStyle w:val="Hyperlink0"/>
          </w:rPr>
          <w:t>https://w</w:t>
        </w:r>
        <w:r>
          <w:rPr>
            <w:rStyle w:val="Hyperlink0"/>
          </w:rPr>
          <w:t>ww.nlc.org/wp-content/uploads/2017/02/NLC-SML-Preemption-Report-2017-pages.pdf</w:t>
        </w:r>
      </w:hyperlink>
      <w:r>
        <w:rPr>
          <w:rFonts w:ascii="Trebuchet MS"/>
        </w:rPr>
        <w:t xml:space="preserve"> </w:t>
      </w:r>
    </w:p>
  </w:footnote>
  <w:footnote w:id="18">
    <w:p w14:paraId="496D5539" w14:textId="77777777" w:rsidR="00011774" w:rsidRDefault="00273939">
      <w:pPr>
        <w:pStyle w:val="BodyA"/>
        <w:shd w:val="clear" w:color="auto" w:fill="FFFFFF"/>
        <w:spacing w:after="0" w:line="240" w:lineRule="auto"/>
      </w:pPr>
      <w:r>
        <w:rPr>
          <w:vertAlign w:val="superscript"/>
        </w:rPr>
        <w:footnoteRef/>
      </w:r>
      <w:r>
        <w:rPr>
          <w:rFonts w:ascii="Trebuchet MS"/>
        </w:rPr>
        <w:t xml:space="preserve"> </w:t>
      </w:r>
      <w:hyperlink r:id="rId10" w:history="1">
        <w:r>
          <w:rPr>
            <w:rStyle w:val="Hyperlink1"/>
            <w:rFonts w:ascii="Trebuchet MS"/>
          </w:rPr>
          <w:t>https://www.epi.org/publication/preemption-in-the-midwest/</w:t>
        </w:r>
      </w:hyperlink>
      <w:r>
        <w:rPr>
          <w:rFonts w:ascii="Trebuchet MS"/>
        </w:rPr>
        <w:t xml:space="preserve"> </w:t>
      </w:r>
    </w:p>
  </w:footnote>
  <w:footnote w:id="19">
    <w:p w14:paraId="026B486F"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11" w:history="1">
        <w:r>
          <w:rPr>
            <w:rStyle w:val="Hyperlink0"/>
          </w:rPr>
          <w:t>https://celdf.org/2019/10/media-statement-constitutional-amendment-introduced-in-pennsylvania/</w:t>
        </w:r>
      </w:hyperlink>
      <w:r>
        <w:rPr>
          <w:rFonts w:ascii="Trebuchet MS"/>
        </w:rPr>
        <w:t xml:space="preserve"> </w:t>
      </w:r>
    </w:p>
  </w:footnote>
  <w:footnote w:id="20">
    <w:p w14:paraId="68C68883"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12" w:history="1">
        <w:r>
          <w:rPr>
            <w:rStyle w:val="Hyperlink0"/>
          </w:rPr>
          <w:t>https://celdf.org/2020/06/corporate-actors-challenged-in-lincoln-county-or-ecosystem-petitioners-defend-ordinance/</w:t>
        </w:r>
      </w:hyperlink>
      <w:r>
        <w:rPr>
          <w:rFonts w:ascii="Trebuchet MS"/>
        </w:rPr>
        <w:t xml:space="preserve"> </w:t>
      </w:r>
    </w:p>
  </w:footnote>
  <w:footnote w:id="21">
    <w:p w14:paraId="237000A8"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13" w:history="1">
        <w:r>
          <w:rPr>
            <w:rStyle w:val="Hyperlink0"/>
          </w:rPr>
          <w:t>https://www.pennlive.com/opinion/2019/08/the-limits-of-home-rule-opinion.html</w:t>
        </w:r>
      </w:hyperlink>
      <w:r>
        <w:rPr>
          <w:rFonts w:ascii="Trebuchet MS"/>
        </w:rPr>
        <w:t xml:space="preserve"> </w:t>
      </w:r>
    </w:p>
  </w:footnote>
  <w:footnote w:id="22">
    <w:p w14:paraId="1AD5E934"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lang w:val="en-US"/>
        </w:rPr>
        <w:footnoteRef/>
      </w:r>
      <w:r>
        <w:rPr>
          <w:rFonts w:ascii="Trebuchet MS"/>
        </w:rPr>
        <w:t xml:space="preserve"> </w:t>
      </w:r>
      <w:hyperlink r:id="rId14" w:history="1">
        <w:r>
          <w:rPr>
            <w:rStyle w:val="Hyperlink0"/>
          </w:rPr>
          <w:t>https://truthout.org/articles/</w:t>
        </w:r>
        <w:r>
          <w:rPr>
            <w:rStyle w:val="Hyperlink0"/>
          </w:rPr>
          <w:t>challenging-bedrock-law-dillon-s-rule-in-detroit-and-beyond/</w:t>
        </w:r>
      </w:hyperlink>
      <w:r>
        <w:rPr>
          <w:rFonts w:ascii="Trebuchet MS"/>
        </w:rPr>
        <w:t xml:space="preserve"> </w:t>
      </w:r>
    </w:p>
  </w:footnote>
  <w:footnote w:id="23">
    <w:p w14:paraId="1B601DE6" w14:textId="77777777" w:rsidR="00011774" w:rsidRDefault="00273939">
      <w:pPr>
        <w:pStyle w:val="BodyA"/>
        <w:shd w:val="clear" w:color="auto" w:fill="FFFFFF"/>
        <w:spacing w:after="0" w:line="240" w:lineRule="auto"/>
      </w:pPr>
      <w:r>
        <w:rPr>
          <w:i/>
          <w:iCs/>
          <w:sz w:val="24"/>
          <w:szCs w:val="24"/>
          <w:vertAlign w:val="superscript"/>
        </w:rPr>
        <w:footnoteRef/>
      </w:r>
      <w:r>
        <w:rPr>
          <w:rFonts w:ascii="Trebuchet MS"/>
          <w:sz w:val="20"/>
          <w:szCs w:val="20"/>
          <w:shd w:val="clear" w:color="auto" w:fill="FFFFFF"/>
          <w:lang w:val="en-US"/>
        </w:rPr>
        <w:t xml:space="preserve"> https://www.social-ecology.org/wp/wp-content/uploads/2009/12/Libertarian-Municipalism-The-New-Municipal-Agenda.pdf</w:t>
      </w:r>
    </w:p>
  </w:footnote>
  <w:footnote w:id="24">
    <w:p w14:paraId="5167C843" w14:textId="77777777" w:rsidR="00011774" w:rsidRDefault="00273939">
      <w:pPr>
        <w:pStyle w:val="BodyA"/>
        <w:shd w:val="clear" w:color="auto" w:fill="FFFFFF"/>
        <w:spacing w:after="0" w:line="240" w:lineRule="auto"/>
      </w:pPr>
      <w:r>
        <w:rPr>
          <w:i/>
          <w:iCs/>
          <w:sz w:val="24"/>
          <w:szCs w:val="24"/>
          <w:vertAlign w:val="superscript"/>
        </w:rPr>
        <w:footnoteRef/>
      </w:r>
      <w:r>
        <w:rPr>
          <w:rFonts w:ascii="Trebuchet MS"/>
          <w:sz w:val="20"/>
          <w:szCs w:val="20"/>
          <w:shd w:val="clear" w:color="auto" w:fill="FFFFFF"/>
          <w:lang w:val="es-ES_tradnl"/>
        </w:rPr>
        <w:t xml:space="preserve"> Barcelona en </w:t>
      </w:r>
      <w:proofErr w:type="spellStart"/>
      <w:r>
        <w:rPr>
          <w:rFonts w:ascii="Trebuchet MS"/>
          <w:sz w:val="20"/>
          <w:szCs w:val="20"/>
          <w:shd w:val="clear" w:color="auto" w:fill="FFFFFF"/>
          <w:lang w:val="es-ES_tradnl"/>
        </w:rPr>
        <w:t>Com</w:t>
      </w:r>
      <w:proofErr w:type="spellEnd"/>
      <w:r>
        <w:rPr>
          <w:rFonts w:hAnsi="Trebuchet MS"/>
          <w:sz w:val="20"/>
          <w:szCs w:val="20"/>
          <w:shd w:val="clear" w:color="auto" w:fill="FFFFFF"/>
          <w:lang w:val="en-US"/>
        </w:rPr>
        <w:t>ú</w:t>
      </w:r>
      <w:r>
        <w:rPr>
          <w:rFonts w:hAnsi="Trebuchet MS"/>
          <w:sz w:val="20"/>
          <w:szCs w:val="20"/>
          <w:shd w:val="clear" w:color="auto" w:fill="FFFFFF"/>
          <w:lang w:val="en-US"/>
        </w:rPr>
        <w:t xml:space="preserve"> </w:t>
      </w:r>
      <w:r>
        <w:rPr>
          <w:rFonts w:ascii="Trebuchet MS"/>
          <w:sz w:val="20"/>
          <w:szCs w:val="20"/>
          <w:shd w:val="clear" w:color="auto" w:fill="FFFFFF"/>
          <w:lang w:val="en-US"/>
        </w:rPr>
        <w:t>(</w:t>
      </w:r>
      <w:proofErr w:type="spellStart"/>
      <w:r>
        <w:rPr>
          <w:rFonts w:ascii="Trebuchet MS"/>
          <w:sz w:val="20"/>
          <w:szCs w:val="20"/>
          <w:shd w:val="clear" w:color="auto" w:fill="FFFFFF"/>
          <w:lang w:val="en-US"/>
        </w:rPr>
        <w:t>BeC</w:t>
      </w:r>
      <w:proofErr w:type="spellEnd"/>
      <w:r>
        <w:rPr>
          <w:rFonts w:ascii="Trebuchet MS"/>
          <w:sz w:val="20"/>
          <w:szCs w:val="20"/>
          <w:shd w:val="clear" w:color="auto" w:fill="FFFFFF"/>
          <w:lang w:val="en-US"/>
        </w:rPr>
        <w:t xml:space="preserve">), Debbie Bookchin and Ada </w:t>
      </w:r>
      <w:proofErr w:type="spellStart"/>
      <w:r>
        <w:rPr>
          <w:rFonts w:ascii="Trebuchet MS"/>
          <w:sz w:val="20"/>
          <w:szCs w:val="20"/>
          <w:shd w:val="clear" w:color="auto" w:fill="FFFFFF"/>
          <w:lang w:val="en-US"/>
        </w:rPr>
        <w:t>Colau</w:t>
      </w:r>
      <w:proofErr w:type="spellEnd"/>
      <w:r>
        <w:rPr>
          <w:rFonts w:ascii="Trebuchet MS"/>
          <w:sz w:val="20"/>
          <w:szCs w:val="20"/>
          <w:shd w:val="clear" w:color="auto" w:fill="FFFFFF"/>
          <w:lang w:val="en-US"/>
        </w:rPr>
        <w:t xml:space="preserve">, </w:t>
      </w:r>
      <w:r>
        <w:rPr>
          <w:i/>
          <w:iCs/>
          <w:sz w:val="20"/>
          <w:szCs w:val="20"/>
          <w:shd w:val="clear" w:color="auto" w:fill="FFFFFF"/>
          <w:lang w:val="en-US"/>
        </w:rPr>
        <w:t xml:space="preserve">Fearless Cities: A </w:t>
      </w:r>
      <w:r>
        <w:rPr>
          <w:i/>
          <w:iCs/>
          <w:sz w:val="20"/>
          <w:szCs w:val="20"/>
          <w:shd w:val="clear" w:color="auto" w:fill="FFFFFF"/>
          <w:lang w:val="en-US"/>
        </w:rPr>
        <w:t>Guide to the Global Municipalist Movement</w:t>
      </w:r>
      <w:r>
        <w:rPr>
          <w:rFonts w:ascii="Trebuchet MS"/>
          <w:sz w:val="20"/>
          <w:szCs w:val="20"/>
          <w:shd w:val="clear" w:color="auto" w:fill="FFFFFF"/>
        </w:rPr>
        <w:t>, New Internationalist, 2019</w:t>
      </w:r>
    </w:p>
  </w:footnote>
  <w:footnote w:id="25">
    <w:p w14:paraId="157A85AA"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rPr>
        <w:footnoteRef/>
      </w:r>
      <w:r>
        <w:rPr>
          <w:rFonts w:ascii="Trebuchet MS"/>
        </w:rPr>
        <w:t xml:space="preserve"> </w:t>
      </w:r>
      <w:hyperlink r:id="rId15" w:history="1">
        <w:r>
          <w:rPr>
            <w:rStyle w:val="Hyperlink2"/>
          </w:rPr>
          <w:t>https://www.jacobinmag.com/2021/09/pablo-iglesias-vox-partido-popular-spain-psoe</w:t>
        </w:r>
      </w:hyperlink>
      <w:r>
        <w:rPr>
          <w:rFonts w:ascii="Trebuchet MS"/>
          <w:lang w:val="en-US"/>
        </w:rPr>
        <w:t xml:space="preserve"> </w:t>
      </w:r>
    </w:p>
  </w:footnote>
  <w:footnote w:id="26">
    <w:p w14:paraId="18667DA3"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rPr>
        <w:footnoteRef/>
      </w:r>
      <w:r>
        <w:rPr>
          <w:rFonts w:ascii="Trebuchet MS"/>
        </w:rPr>
        <w:t xml:space="preserve"> </w:t>
      </w:r>
      <w:hyperlink r:id="rId16" w:history="1">
        <w:r>
          <w:rPr>
            <w:rStyle w:val="Hyperlink2"/>
          </w:rPr>
          <w:t>https://journals.sagepub.com/doi/abs/10.1177/0094582X18781347?journalCode=lapa</w:t>
        </w:r>
      </w:hyperlink>
      <w:r>
        <w:rPr>
          <w:rFonts w:ascii="Trebuchet MS"/>
          <w:lang w:val="en-US"/>
        </w:rPr>
        <w:t xml:space="preserve"> </w:t>
      </w:r>
    </w:p>
  </w:footnote>
  <w:footnote w:id="27">
    <w:p w14:paraId="2EEE9681"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rPr>
        <w:footnoteRef/>
      </w:r>
      <w:r>
        <w:rPr>
          <w:rFonts w:ascii="Trebuchet MS"/>
        </w:rPr>
        <w:t xml:space="preserve"> </w:t>
      </w:r>
      <w:hyperlink r:id="rId17" w:history="1">
        <w:r>
          <w:rPr>
            <w:rStyle w:val="Hyperlink2"/>
          </w:rPr>
          <w:t>https://www.democracynow.org/2021/7/30/guatemala_national_strike</w:t>
        </w:r>
      </w:hyperlink>
      <w:r>
        <w:rPr>
          <w:rFonts w:ascii="Trebuchet MS"/>
          <w:lang w:val="en-US"/>
        </w:rPr>
        <w:t xml:space="preserve"> </w:t>
      </w:r>
    </w:p>
  </w:footnote>
  <w:footnote w:id="28">
    <w:p w14:paraId="1210A6DC"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rPr>
        <w:footnoteRef/>
      </w:r>
      <w:r>
        <w:rPr>
          <w:rFonts w:ascii="Trebuchet MS"/>
        </w:rPr>
        <w:t xml:space="preserve"> </w:t>
      </w:r>
      <w:hyperlink r:id="rId18" w:history="1">
        <w:r>
          <w:rPr>
            <w:rStyle w:val="Hyperlink2"/>
          </w:rPr>
          <w:t>https://www.iwgia.org/en/news/4424-chile-%E2%80%9Cthe-constitu</w:t>
        </w:r>
        <w:r>
          <w:rPr>
            <w:rStyle w:val="Hyperlink2"/>
          </w:rPr>
          <w:t>tion-must-recognize-indigenous-peoples-by-means-of-a-plurinational-state%E2%80%9D.html</w:t>
        </w:r>
      </w:hyperlink>
      <w:r>
        <w:rPr>
          <w:rFonts w:ascii="Trebuchet MS"/>
          <w:lang w:val="en-US"/>
        </w:rPr>
        <w:t xml:space="preserve"> </w:t>
      </w:r>
    </w:p>
  </w:footnote>
  <w:footnote w:id="29">
    <w:p w14:paraId="23DE1127" w14:textId="77777777" w:rsidR="00011774" w:rsidRDefault="00273939">
      <w:pPr>
        <w:pStyle w:val="BodyA"/>
        <w:shd w:val="clear" w:color="auto" w:fill="FFFFFF"/>
        <w:spacing w:after="0" w:line="240" w:lineRule="auto"/>
      </w:pPr>
      <w:r>
        <w:rPr>
          <w:rFonts w:ascii="Times New Roman" w:eastAsia="Times New Roman" w:hAnsi="Times New Roman" w:cs="Times New Roman"/>
          <w:sz w:val="24"/>
          <w:szCs w:val="24"/>
          <w:vertAlign w:val="superscript"/>
        </w:rPr>
        <w:footnoteRef/>
      </w:r>
      <w:r>
        <w:rPr>
          <w:rFonts w:ascii="Trebuchet MS"/>
        </w:rPr>
        <w:t xml:space="preserve"> </w:t>
      </w:r>
      <w:r>
        <w:rPr>
          <w:rFonts w:ascii="Trebuchet MS"/>
          <w:lang w:val="en-US"/>
        </w:rPr>
        <w:t>Kurdish, Sunni and secular groups are all advocating for a more federalist structure in Iraq.  Zahra Ali, Cambridge University Press,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F07A" w14:textId="77777777" w:rsidR="00011774" w:rsidRDefault="0001177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4FF"/>
    <w:multiLevelType w:val="multilevel"/>
    <w:tmpl w:val="23FCCA2A"/>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shd w:val="clear" w:color="auto" w:fill="FFFFFF"/>
        <w:rtl w:val="0"/>
        <w:lang w:val="fr-FR"/>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abstractNum>
  <w:abstractNum w:abstractNumId="1" w15:restartNumberingAfterBreak="0">
    <w:nsid w:val="07AC04F1"/>
    <w:multiLevelType w:val="multilevel"/>
    <w:tmpl w:val="6688CF42"/>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15:restartNumberingAfterBreak="0">
    <w:nsid w:val="0C512B11"/>
    <w:multiLevelType w:val="multilevel"/>
    <w:tmpl w:val="D88C23A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 w15:restartNumberingAfterBreak="0">
    <w:nsid w:val="0F0F54F4"/>
    <w:multiLevelType w:val="multilevel"/>
    <w:tmpl w:val="A41EB1E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 w15:restartNumberingAfterBreak="0">
    <w:nsid w:val="12416F7D"/>
    <w:multiLevelType w:val="multilevel"/>
    <w:tmpl w:val="AE2C59D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 w15:restartNumberingAfterBreak="0">
    <w:nsid w:val="132C289F"/>
    <w:multiLevelType w:val="multilevel"/>
    <w:tmpl w:val="28E8ABA2"/>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6" w15:restartNumberingAfterBreak="0">
    <w:nsid w:val="16781E2D"/>
    <w:multiLevelType w:val="multilevel"/>
    <w:tmpl w:val="AF6895C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7" w15:restartNumberingAfterBreak="0">
    <w:nsid w:val="1E3F1864"/>
    <w:multiLevelType w:val="multilevel"/>
    <w:tmpl w:val="CF5EBE42"/>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shd w:val="clear" w:color="auto" w:fill="FFFFFF"/>
        <w:rtl w:val="0"/>
        <w:lang w:val="en-US"/>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abstractNum>
  <w:abstractNum w:abstractNumId="8" w15:restartNumberingAfterBreak="0">
    <w:nsid w:val="28366BCD"/>
    <w:multiLevelType w:val="multilevel"/>
    <w:tmpl w:val="C660F874"/>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shd w:val="clear" w:color="auto" w:fill="FFFFFF"/>
        <w:rtl w:val="0"/>
        <w:lang w:val="en-US"/>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abstractNum>
  <w:abstractNum w:abstractNumId="9" w15:restartNumberingAfterBreak="0">
    <w:nsid w:val="2BD12764"/>
    <w:multiLevelType w:val="multilevel"/>
    <w:tmpl w:val="A5367FBE"/>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shd w:val="clear" w:color="auto" w:fill="FFFFFF"/>
        <w:rtl w:val="0"/>
        <w:lang w:val="en-US"/>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abstractNum>
  <w:abstractNum w:abstractNumId="10" w15:restartNumberingAfterBreak="0">
    <w:nsid w:val="328F5C32"/>
    <w:multiLevelType w:val="multilevel"/>
    <w:tmpl w:val="57FA832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shd w:val="clear" w:color="auto" w:fill="FFFFFF"/>
        <w:rtl w:val="0"/>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abstractNum>
  <w:abstractNum w:abstractNumId="11" w15:restartNumberingAfterBreak="0">
    <w:nsid w:val="3DB450E2"/>
    <w:multiLevelType w:val="multilevel"/>
    <w:tmpl w:val="7C6CC392"/>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shd w:val="clear" w:color="auto" w:fill="FFFFFF"/>
        <w:rtl w:val="0"/>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abstractNum>
  <w:abstractNum w:abstractNumId="12" w15:restartNumberingAfterBreak="0">
    <w:nsid w:val="3E806E72"/>
    <w:multiLevelType w:val="multilevel"/>
    <w:tmpl w:val="A6B84C56"/>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shd w:val="clear" w:color="auto" w:fill="FFFFFF"/>
        <w:rtl w:val="0"/>
        <w:lang w:val="en-US"/>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abstractNum>
  <w:abstractNum w:abstractNumId="13" w15:restartNumberingAfterBreak="0">
    <w:nsid w:val="45685A19"/>
    <w:multiLevelType w:val="multilevel"/>
    <w:tmpl w:val="78C45832"/>
    <w:styleLink w:val="List8"/>
    <w:lvl w:ilvl="0">
      <w:numFmt w:val="bullet"/>
      <w:lvlText w:val="▪"/>
      <w:lvlJc w:val="left"/>
      <w:pPr>
        <w:tabs>
          <w:tab w:val="num" w:pos="720"/>
        </w:tabs>
        <w:ind w:left="720" w:hanging="360"/>
      </w:pPr>
      <w:rPr>
        <w:rFonts w:ascii="Trebuchet MS" w:eastAsia="Trebuchet MS" w:hAnsi="Trebuchet MS" w:cs="Trebuchet MS"/>
        <w:color w:val="000000"/>
        <w:position w:val="0"/>
        <w:sz w:val="22"/>
        <w:szCs w:val="22"/>
        <w:shd w:val="clear" w:color="auto" w:fill="FFFFFF"/>
        <w:rtl w:val="0"/>
        <w:lang w:val="en-US"/>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abstractNum>
  <w:abstractNum w:abstractNumId="14" w15:restartNumberingAfterBreak="0">
    <w:nsid w:val="4CC616BD"/>
    <w:multiLevelType w:val="multilevel"/>
    <w:tmpl w:val="19E4AA10"/>
    <w:styleLink w:val="List51"/>
    <w:lvl w:ilvl="0">
      <w:numFmt w:val="bullet"/>
      <w:lvlText w:val="▪"/>
      <w:lvlJc w:val="left"/>
      <w:pPr>
        <w:tabs>
          <w:tab w:val="num" w:pos="720"/>
        </w:tabs>
        <w:ind w:left="720" w:hanging="360"/>
      </w:pPr>
      <w:rPr>
        <w:rFonts w:ascii="Trebuchet MS" w:eastAsia="Trebuchet MS" w:hAnsi="Trebuchet MS" w:cs="Trebuchet MS"/>
        <w:color w:val="000000"/>
        <w:position w:val="0"/>
        <w:sz w:val="22"/>
        <w:szCs w:val="22"/>
        <w:shd w:val="clear" w:color="auto" w:fill="FFFFFF"/>
        <w:rtl w:val="0"/>
        <w:lang w:val="en-US"/>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abstractNum>
  <w:abstractNum w:abstractNumId="15" w15:restartNumberingAfterBreak="0">
    <w:nsid w:val="4CEB1B31"/>
    <w:multiLevelType w:val="multilevel"/>
    <w:tmpl w:val="9C38A0E4"/>
    <w:styleLink w:val="List7"/>
    <w:lvl w:ilvl="0">
      <w:numFmt w:val="bullet"/>
      <w:lvlText w:val="▪"/>
      <w:lvlJc w:val="left"/>
      <w:pPr>
        <w:tabs>
          <w:tab w:val="num" w:pos="720"/>
        </w:tabs>
        <w:ind w:left="720" w:hanging="360"/>
      </w:pPr>
      <w:rPr>
        <w:rFonts w:ascii="Trebuchet MS" w:eastAsia="Trebuchet MS" w:hAnsi="Trebuchet MS" w:cs="Trebuchet MS"/>
        <w:color w:val="000000"/>
        <w:position w:val="0"/>
        <w:sz w:val="22"/>
        <w:szCs w:val="22"/>
        <w:shd w:val="clear" w:color="auto" w:fill="FFFFFF"/>
        <w:rtl w:val="0"/>
        <w:lang w:val="en-US"/>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abstractNum>
  <w:abstractNum w:abstractNumId="16" w15:restartNumberingAfterBreak="0">
    <w:nsid w:val="50620D1F"/>
    <w:multiLevelType w:val="multilevel"/>
    <w:tmpl w:val="FC025EC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7" w15:restartNumberingAfterBreak="0">
    <w:nsid w:val="51754139"/>
    <w:multiLevelType w:val="multilevel"/>
    <w:tmpl w:val="EA78A9EC"/>
    <w:styleLink w:val="List31"/>
    <w:lvl w:ilvl="0">
      <w:numFmt w:val="bullet"/>
      <w:lvlText w:val="▪"/>
      <w:lvlJc w:val="left"/>
      <w:pPr>
        <w:tabs>
          <w:tab w:val="num" w:pos="720"/>
        </w:tabs>
        <w:ind w:left="720" w:hanging="360"/>
      </w:pPr>
      <w:rPr>
        <w:rFonts w:ascii="Trebuchet MS" w:eastAsia="Trebuchet MS" w:hAnsi="Trebuchet MS" w:cs="Trebuchet MS"/>
        <w:color w:val="000000"/>
        <w:position w:val="0"/>
        <w:sz w:val="22"/>
        <w:szCs w:val="22"/>
        <w:shd w:val="clear" w:color="auto" w:fill="FFFFFF"/>
        <w:rtl w:val="0"/>
        <w:lang w:val="en-US"/>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abstractNum>
  <w:abstractNum w:abstractNumId="18" w15:restartNumberingAfterBreak="0">
    <w:nsid w:val="5E616D8B"/>
    <w:multiLevelType w:val="multilevel"/>
    <w:tmpl w:val="82989384"/>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shd w:val="clear" w:color="auto" w:fill="FFFFFF"/>
        <w:rtl w:val="0"/>
        <w:lang w:val="en-US"/>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abstractNum>
  <w:abstractNum w:abstractNumId="19" w15:restartNumberingAfterBreak="0">
    <w:nsid w:val="5EC90C37"/>
    <w:multiLevelType w:val="multilevel"/>
    <w:tmpl w:val="A1AA5DE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0" w15:restartNumberingAfterBreak="0">
    <w:nsid w:val="60B309D8"/>
    <w:multiLevelType w:val="multilevel"/>
    <w:tmpl w:val="A170F3E4"/>
    <w:lvl w:ilvl="0">
      <w:start w:val="1"/>
      <w:numFmt w:val="bullet"/>
      <w:lvlText w:val="▪"/>
      <w:lvlJc w:val="left"/>
      <w:rPr>
        <w:color w:val="000000"/>
        <w:position w:val="0"/>
        <w:shd w:val="clear" w:color="auto" w:fill="FFFFFF"/>
      </w:rPr>
    </w:lvl>
    <w:lvl w:ilvl="1">
      <w:start w:val="1"/>
      <w:numFmt w:val="bullet"/>
      <w:lvlText w:val="▪"/>
      <w:lvlJc w:val="left"/>
      <w:rPr>
        <w:color w:val="000000"/>
        <w:position w:val="0"/>
        <w:shd w:val="clear" w:color="auto" w:fill="FFFFFF"/>
      </w:rPr>
    </w:lvl>
    <w:lvl w:ilvl="2">
      <w:start w:val="1"/>
      <w:numFmt w:val="bullet"/>
      <w:lvlText w:val="▪"/>
      <w:lvlJc w:val="left"/>
      <w:rPr>
        <w:color w:val="000000"/>
        <w:position w:val="0"/>
        <w:shd w:val="clear" w:color="auto" w:fill="FFFFFF"/>
      </w:rPr>
    </w:lvl>
    <w:lvl w:ilvl="3">
      <w:start w:val="1"/>
      <w:numFmt w:val="bullet"/>
      <w:lvlText w:val="▪"/>
      <w:lvlJc w:val="left"/>
      <w:rPr>
        <w:color w:val="000000"/>
        <w:position w:val="0"/>
        <w:shd w:val="clear" w:color="auto" w:fill="FFFFFF"/>
      </w:rPr>
    </w:lvl>
    <w:lvl w:ilvl="4">
      <w:start w:val="1"/>
      <w:numFmt w:val="bullet"/>
      <w:lvlText w:val="▪"/>
      <w:lvlJc w:val="left"/>
      <w:rPr>
        <w:color w:val="000000"/>
        <w:position w:val="0"/>
        <w:shd w:val="clear" w:color="auto" w:fill="FFFFFF"/>
      </w:rPr>
    </w:lvl>
    <w:lvl w:ilvl="5">
      <w:start w:val="1"/>
      <w:numFmt w:val="bullet"/>
      <w:lvlText w:val="▪"/>
      <w:lvlJc w:val="left"/>
      <w:rPr>
        <w:color w:val="000000"/>
        <w:position w:val="0"/>
        <w:shd w:val="clear" w:color="auto" w:fill="FFFFFF"/>
      </w:rPr>
    </w:lvl>
    <w:lvl w:ilvl="6">
      <w:start w:val="1"/>
      <w:numFmt w:val="bullet"/>
      <w:lvlText w:val="▪"/>
      <w:lvlJc w:val="left"/>
      <w:rPr>
        <w:color w:val="000000"/>
        <w:position w:val="0"/>
        <w:shd w:val="clear" w:color="auto" w:fill="FFFFFF"/>
      </w:rPr>
    </w:lvl>
    <w:lvl w:ilvl="7">
      <w:start w:val="1"/>
      <w:numFmt w:val="bullet"/>
      <w:lvlText w:val="▪"/>
      <w:lvlJc w:val="left"/>
      <w:rPr>
        <w:color w:val="000000"/>
        <w:position w:val="0"/>
        <w:shd w:val="clear" w:color="auto" w:fill="FFFFFF"/>
      </w:rPr>
    </w:lvl>
    <w:lvl w:ilvl="8">
      <w:start w:val="1"/>
      <w:numFmt w:val="bullet"/>
      <w:lvlText w:val="▪"/>
      <w:lvlJc w:val="left"/>
      <w:rPr>
        <w:color w:val="000000"/>
        <w:position w:val="0"/>
        <w:shd w:val="clear" w:color="auto" w:fill="FFFFFF"/>
      </w:rPr>
    </w:lvl>
  </w:abstractNum>
  <w:abstractNum w:abstractNumId="21" w15:restartNumberingAfterBreak="0">
    <w:nsid w:val="6DB17528"/>
    <w:multiLevelType w:val="multilevel"/>
    <w:tmpl w:val="94FAE9B0"/>
    <w:lvl w:ilvl="0">
      <w:numFmt w:val="bullet"/>
      <w:lvlText w:val="▪"/>
      <w:lvlJc w:val="left"/>
      <w:pPr>
        <w:tabs>
          <w:tab w:val="num" w:pos="720"/>
        </w:tabs>
        <w:ind w:left="720" w:hanging="360"/>
      </w:pPr>
      <w:rPr>
        <w:rFonts w:ascii="Trebuchet MS" w:eastAsia="Trebuchet MS" w:hAnsi="Trebuchet MS" w:cs="Trebuchet MS"/>
        <w:color w:val="000000"/>
        <w:position w:val="0"/>
        <w:sz w:val="22"/>
        <w:szCs w:val="22"/>
        <w:shd w:val="clear" w:color="auto" w:fill="FFFFFF"/>
        <w:rtl w:val="0"/>
        <w:lang w:val="en-US"/>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abstractNum>
  <w:abstractNum w:abstractNumId="22" w15:restartNumberingAfterBreak="0">
    <w:nsid w:val="6DE12566"/>
    <w:multiLevelType w:val="multilevel"/>
    <w:tmpl w:val="E7FEC0CC"/>
    <w:styleLink w:val="List0"/>
    <w:lvl w:ilvl="0">
      <w:numFmt w:val="bullet"/>
      <w:lvlText w:val="▪"/>
      <w:lvlJc w:val="left"/>
      <w:pPr>
        <w:tabs>
          <w:tab w:val="num" w:pos="720"/>
        </w:tabs>
        <w:ind w:left="720" w:hanging="360"/>
      </w:pPr>
      <w:rPr>
        <w:rFonts w:ascii="Trebuchet MS" w:eastAsia="Trebuchet MS" w:hAnsi="Trebuchet MS" w:cs="Trebuchet MS"/>
        <w:color w:val="000000"/>
        <w:position w:val="0"/>
        <w:sz w:val="22"/>
        <w:szCs w:val="22"/>
        <w:shd w:val="clear" w:color="auto" w:fill="FFFFFF"/>
        <w:rtl w:val="0"/>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abstractNum>
  <w:abstractNum w:abstractNumId="23" w15:restartNumberingAfterBreak="0">
    <w:nsid w:val="6FE61C22"/>
    <w:multiLevelType w:val="multilevel"/>
    <w:tmpl w:val="DDE2CFE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4" w15:restartNumberingAfterBreak="0">
    <w:nsid w:val="74047E9A"/>
    <w:multiLevelType w:val="multilevel"/>
    <w:tmpl w:val="388EEFAC"/>
    <w:styleLink w:val="List21"/>
    <w:lvl w:ilvl="0">
      <w:numFmt w:val="bullet"/>
      <w:lvlText w:val="▪"/>
      <w:lvlJc w:val="left"/>
      <w:pPr>
        <w:tabs>
          <w:tab w:val="num" w:pos="720"/>
        </w:tabs>
        <w:ind w:left="720" w:hanging="360"/>
      </w:pPr>
      <w:rPr>
        <w:rFonts w:ascii="Trebuchet MS" w:eastAsia="Trebuchet MS" w:hAnsi="Trebuchet MS" w:cs="Trebuchet MS"/>
        <w:color w:val="000000"/>
        <w:position w:val="0"/>
        <w:sz w:val="22"/>
        <w:szCs w:val="22"/>
        <w:shd w:val="clear" w:color="auto" w:fill="FFFFFF"/>
        <w:rtl w:val="0"/>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rPr>
    </w:lvl>
  </w:abstractNum>
  <w:abstractNum w:abstractNumId="25" w15:restartNumberingAfterBreak="0">
    <w:nsid w:val="759779B1"/>
    <w:multiLevelType w:val="multilevel"/>
    <w:tmpl w:val="BB94C106"/>
    <w:styleLink w:val="List6"/>
    <w:lvl w:ilvl="0">
      <w:numFmt w:val="bullet"/>
      <w:lvlText w:val="▪"/>
      <w:lvlJc w:val="left"/>
      <w:rPr>
        <w:color w:val="000000"/>
        <w:position w:val="0"/>
        <w:shd w:val="clear" w:color="auto" w:fill="FFFFFF"/>
      </w:rPr>
    </w:lvl>
    <w:lvl w:ilvl="1">
      <w:start w:val="1"/>
      <w:numFmt w:val="bullet"/>
      <w:lvlText w:val="▪"/>
      <w:lvlJc w:val="left"/>
      <w:rPr>
        <w:color w:val="000000"/>
        <w:position w:val="0"/>
        <w:shd w:val="clear" w:color="auto" w:fill="FFFFFF"/>
      </w:rPr>
    </w:lvl>
    <w:lvl w:ilvl="2">
      <w:start w:val="1"/>
      <w:numFmt w:val="bullet"/>
      <w:lvlText w:val="▪"/>
      <w:lvlJc w:val="left"/>
      <w:rPr>
        <w:color w:val="000000"/>
        <w:position w:val="0"/>
        <w:shd w:val="clear" w:color="auto" w:fill="FFFFFF"/>
      </w:rPr>
    </w:lvl>
    <w:lvl w:ilvl="3">
      <w:start w:val="1"/>
      <w:numFmt w:val="bullet"/>
      <w:lvlText w:val="▪"/>
      <w:lvlJc w:val="left"/>
      <w:rPr>
        <w:color w:val="000000"/>
        <w:position w:val="0"/>
        <w:shd w:val="clear" w:color="auto" w:fill="FFFFFF"/>
      </w:rPr>
    </w:lvl>
    <w:lvl w:ilvl="4">
      <w:start w:val="1"/>
      <w:numFmt w:val="bullet"/>
      <w:lvlText w:val="▪"/>
      <w:lvlJc w:val="left"/>
      <w:rPr>
        <w:color w:val="000000"/>
        <w:position w:val="0"/>
        <w:shd w:val="clear" w:color="auto" w:fill="FFFFFF"/>
      </w:rPr>
    </w:lvl>
    <w:lvl w:ilvl="5">
      <w:start w:val="1"/>
      <w:numFmt w:val="bullet"/>
      <w:lvlText w:val="▪"/>
      <w:lvlJc w:val="left"/>
      <w:rPr>
        <w:color w:val="000000"/>
        <w:position w:val="0"/>
        <w:shd w:val="clear" w:color="auto" w:fill="FFFFFF"/>
      </w:rPr>
    </w:lvl>
    <w:lvl w:ilvl="6">
      <w:start w:val="1"/>
      <w:numFmt w:val="bullet"/>
      <w:lvlText w:val="▪"/>
      <w:lvlJc w:val="left"/>
      <w:rPr>
        <w:color w:val="000000"/>
        <w:position w:val="0"/>
        <w:shd w:val="clear" w:color="auto" w:fill="FFFFFF"/>
      </w:rPr>
    </w:lvl>
    <w:lvl w:ilvl="7">
      <w:start w:val="1"/>
      <w:numFmt w:val="bullet"/>
      <w:lvlText w:val="▪"/>
      <w:lvlJc w:val="left"/>
      <w:rPr>
        <w:color w:val="000000"/>
        <w:position w:val="0"/>
        <w:shd w:val="clear" w:color="auto" w:fill="FFFFFF"/>
      </w:rPr>
    </w:lvl>
    <w:lvl w:ilvl="8">
      <w:start w:val="1"/>
      <w:numFmt w:val="bullet"/>
      <w:lvlText w:val="▪"/>
      <w:lvlJc w:val="left"/>
      <w:rPr>
        <w:color w:val="000000"/>
        <w:position w:val="0"/>
        <w:shd w:val="clear" w:color="auto" w:fill="FFFFFF"/>
      </w:rPr>
    </w:lvl>
  </w:abstractNum>
  <w:abstractNum w:abstractNumId="26" w15:restartNumberingAfterBreak="0">
    <w:nsid w:val="777E6C2B"/>
    <w:multiLevelType w:val="multilevel"/>
    <w:tmpl w:val="FB2C71BA"/>
    <w:styleLink w:val="List1"/>
    <w:lvl w:ilvl="0">
      <w:numFmt w:val="bullet"/>
      <w:lvlText w:val="▪"/>
      <w:lvlJc w:val="left"/>
      <w:pPr>
        <w:tabs>
          <w:tab w:val="num" w:pos="720"/>
        </w:tabs>
        <w:ind w:left="720" w:hanging="360"/>
      </w:pPr>
      <w:rPr>
        <w:rFonts w:ascii="Trebuchet MS" w:eastAsia="Trebuchet MS" w:hAnsi="Trebuchet MS" w:cs="Trebuchet MS"/>
        <w:color w:val="000000"/>
        <w:position w:val="0"/>
        <w:sz w:val="22"/>
        <w:szCs w:val="22"/>
        <w:shd w:val="clear" w:color="auto" w:fill="FFFFFF"/>
        <w:rtl w:val="0"/>
        <w:lang w:val="fr-FR"/>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fr-FR"/>
      </w:rPr>
    </w:lvl>
  </w:abstractNum>
  <w:abstractNum w:abstractNumId="27" w15:restartNumberingAfterBreak="0">
    <w:nsid w:val="7E82036C"/>
    <w:multiLevelType w:val="multilevel"/>
    <w:tmpl w:val="D9A2D9BA"/>
    <w:styleLink w:val="List41"/>
    <w:lvl w:ilvl="0">
      <w:numFmt w:val="bullet"/>
      <w:lvlText w:val="▪"/>
      <w:lvlJc w:val="left"/>
      <w:pPr>
        <w:tabs>
          <w:tab w:val="num" w:pos="720"/>
        </w:tabs>
        <w:ind w:left="720" w:hanging="360"/>
      </w:pPr>
      <w:rPr>
        <w:rFonts w:ascii="Trebuchet MS" w:eastAsia="Trebuchet MS" w:hAnsi="Trebuchet MS" w:cs="Trebuchet MS"/>
        <w:color w:val="000000"/>
        <w:position w:val="0"/>
        <w:sz w:val="22"/>
        <w:szCs w:val="22"/>
        <w:shd w:val="clear" w:color="auto" w:fill="FFFFFF"/>
        <w:rtl w:val="0"/>
        <w:lang w:val="en-US"/>
      </w:rPr>
    </w:lvl>
    <w:lvl w:ilvl="1">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2">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3">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4">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5">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6">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7">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lvl w:ilvl="8">
      <w:start w:val="1"/>
      <w:numFmt w:val="bullet"/>
      <w:lvlText w:val="▪"/>
      <w:lvlJc w:val="left"/>
      <w:pPr>
        <w:tabs>
          <w:tab w:val="num" w:pos="6480"/>
        </w:tabs>
        <w:ind w:left="6480" w:hanging="360"/>
      </w:pPr>
      <w:rPr>
        <w:rFonts w:ascii="Trebuchet MS" w:eastAsia="Trebuchet MS" w:hAnsi="Trebuchet MS" w:cs="Trebuchet MS"/>
        <w:color w:val="000000"/>
        <w:position w:val="0"/>
        <w:sz w:val="24"/>
        <w:szCs w:val="24"/>
        <w:shd w:val="clear" w:color="auto" w:fill="FFFFFF"/>
        <w:rtl w:val="0"/>
        <w:lang w:val="en-US"/>
      </w:rPr>
    </w:lvl>
  </w:abstractNum>
  <w:num w:numId="1">
    <w:abstractNumId w:val="10"/>
  </w:num>
  <w:num w:numId="2">
    <w:abstractNumId w:val="23"/>
  </w:num>
  <w:num w:numId="3">
    <w:abstractNumId w:val="22"/>
  </w:num>
  <w:num w:numId="4">
    <w:abstractNumId w:val="0"/>
  </w:num>
  <w:num w:numId="5">
    <w:abstractNumId w:val="5"/>
  </w:num>
  <w:num w:numId="6">
    <w:abstractNumId w:val="26"/>
  </w:num>
  <w:num w:numId="7">
    <w:abstractNumId w:val="11"/>
  </w:num>
  <w:num w:numId="8">
    <w:abstractNumId w:val="6"/>
  </w:num>
  <w:num w:numId="9">
    <w:abstractNumId w:val="24"/>
  </w:num>
  <w:num w:numId="10">
    <w:abstractNumId w:val="7"/>
  </w:num>
  <w:num w:numId="11">
    <w:abstractNumId w:val="16"/>
  </w:num>
  <w:num w:numId="12">
    <w:abstractNumId w:val="17"/>
  </w:num>
  <w:num w:numId="13">
    <w:abstractNumId w:val="8"/>
  </w:num>
  <w:num w:numId="14">
    <w:abstractNumId w:val="2"/>
  </w:num>
  <w:num w:numId="15">
    <w:abstractNumId w:val="27"/>
  </w:num>
  <w:num w:numId="16">
    <w:abstractNumId w:val="9"/>
  </w:num>
  <w:num w:numId="17">
    <w:abstractNumId w:val="3"/>
  </w:num>
  <w:num w:numId="18">
    <w:abstractNumId w:val="14"/>
  </w:num>
  <w:num w:numId="19">
    <w:abstractNumId w:val="20"/>
  </w:num>
  <w:num w:numId="20">
    <w:abstractNumId w:val="4"/>
  </w:num>
  <w:num w:numId="21">
    <w:abstractNumId w:val="25"/>
  </w:num>
  <w:num w:numId="22">
    <w:abstractNumId w:val="12"/>
  </w:num>
  <w:num w:numId="23">
    <w:abstractNumId w:val="1"/>
  </w:num>
  <w:num w:numId="24">
    <w:abstractNumId w:val="15"/>
  </w:num>
  <w:num w:numId="25">
    <w:abstractNumId w:val="18"/>
  </w:num>
  <w:num w:numId="26">
    <w:abstractNumId w:val="19"/>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74"/>
    <w:rsid w:val="00011774"/>
    <w:rsid w:val="000F0A21"/>
    <w:rsid w:val="00273939"/>
    <w:rsid w:val="002E34ED"/>
    <w:rsid w:val="00612C9E"/>
    <w:rsid w:val="00806FF9"/>
    <w:rsid w:val="00FB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1ADE"/>
  <w15:docId w15:val="{EC9B4C4E-F351-49A6-B2E5-CF2F680C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it-IT"/>
    </w:rPr>
  </w:style>
  <w:style w:type="character" w:customStyle="1" w:styleId="None">
    <w:name w:val="None"/>
  </w:style>
  <w:style w:type="character" w:customStyle="1" w:styleId="Hyperlink0">
    <w:name w:val="Hyperlink.0"/>
    <w:basedOn w:val="None"/>
    <w:rPr>
      <w:rFonts w:ascii="Trebuchet MS" w:eastAsia="Trebuchet MS" w:hAnsi="Trebuchet MS" w:cs="Trebuchet MS"/>
      <w:u w:val="single"/>
    </w:rPr>
  </w:style>
  <w:style w:type="character" w:customStyle="1" w:styleId="Hyperlink1">
    <w:name w:val="Hyperlink.1"/>
    <w:basedOn w:val="Hyperlink"/>
    <w:rPr>
      <w:u w:val="singl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8"/>
      </w:numPr>
    </w:pPr>
  </w:style>
  <w:style w:type="numbering" w:customStyle="1" w:styleId="ImportedStyle9">
    <w:name w:val="Imported Style 9"/>
  </w:style>
  <w:style w:type="character" w:customStyle="1" w:styleId="Hyperlink2">
    <w:name w:val="Hyperlink.2"/>
    <w:basedOn w:val="None"/>
    <w:rPr>
      <w:rFonts w:ascii="Trebuchet MS" w:eastAsia="Trebuchet MS" w:hAnsi="Trebuchet MS" w:cs="Trebuchet MS"/>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upportdemocracy.org/preemption" TargetMode="External"/><Relationship Id="rId13" Type="http://schemas.openxmlformats.org/officeDocument/2006/relationships/hyperlink" Target="https://www.pennlive.com/opinion/2019/08/the-limits-of-home-rule-opinion.html" TargetMode="External"/><Relationship Id="rId18" Type="http://schemas.openxmlformats.org/officeDocument/2006/relationships/hyperlink" Target="https://www.iwgia.org/en/news/4424-chile-%252525e2%25252580%2525259cthe-constitution-must-recognize-indigenous-peoples-by-means-of-a-plurinational-state%252525e2%25252580%2525259d.html" TargetMode="External"/><Relationship Id="rId3" Type="http://schemas.openxmlformats.org/officeDocument/2006/relationships/hyperlink" Target="https://scalawagmagazine.org/2019/11/virginia-property-discrimination/" TargetMode="External"/><Relationship Id="rId7" Type="http://schemas.openxmlformats.org/officeDocument/2006/relationships/hyperlink" Target="https://celdf.org/2020/06/celdf-report-corporations-are-suing-cities-across-the-usa/" TargetMode="External"/><Relationship Id="rId12" Type="http://schemas.openxmlformats.org/officeDocument/2006/relationships/hyperlink" Target="https://celdf.org/2020/06/corporate-actors-challenged-in-lincoln-county-or-ecosystem-petitioners-defend-ordinance/" TargetMode="External"/><Relationship Id="rId17" Type="http://schemas.openxmlformats.org/officeDocument/2006/relationships/hyperlink" Target="https://www.democracynow.org/2021/7/30/guatemala_national_strike" TargetMode="External"/><Relationship Id="rId2" Type="http://schemas.openxmlformats.org/officeDocument/2006/relationships/hyperlink" Target="https://www.supportdemocracy.org/racial-justice" TargetMode="External"/><Relationship Id="rId16" Type="http://schemas.openxmlformats.org/officeDocument/2006/relationships/hyperlink" Target="https://journals.sagepub.com/doi/abs/10.1177/0094582x18781347?journalcode=lapa" TargetMode="External"/><Relationship Id="rId1" Type="http://schemas.openxmlformats.org/officeDocument/2006/relationships/hyperlink" Target="https://www.nlc.org/wp-content/uploads/2020/02/home-rule-principles-reportweb-2-1.pdf" TargetMode="External"/><Relationship Id="rId6" Type="http://schemas.openxmlformats.org/officeDocument/2006/relationships/hyperlink" Target="https://celdf.org/2020/06/celdf-report-corporations-are-suing-cities-across-the-usa/" TargetMode="External"/><Relationship Id="rId11" Type="http://schemas.openxmlformats.org/officeDocument/2006/relationships/hyperlink" Target="https://celdf.org/2019/10/media-statement-constitutional-amendment-introduced-in-pennsylvania/" TargetMode="External"/><Relationship Id="rId5" Type="http://schemas.openxmlformats.org/officeDocument/2006/relationships/hyperlink" Target="https://inthesetimes.com/article/local-politics-states-emergency-management-reconstruction-right-wing-alec" TargetMode="External"/><Relationship Id="rId15" Type="http://schemas.openxmlformats.org/officeDocument/2006/relationships/hyperlink" Target="https://www.jacobinmag.com/2021/09/pablo-iglesias-vox-partido-popular-spain-psoe" TargetMode="External"/><Relationship Id="rId10" Type="http://schemas.openxmlformats.org/officeDocument/2006/relationships/hyperlink" Target="https://www.epi.org/publication/preemption-in-the-midwest/" TargetMode="External"/><Relationship Id="rId4" Type="http://schemas.openxmlformats.org/officeDocument/2006/relationships/hyperlink" Target="https://www.epi.org/publication/preemption-in-the-midwest/" TargetMode="External"/><Relationship Id="rId9" Type="http://schemas.openxmlformats.org/officeDocument/2006/relationships/hyperlink" Target="https://www.nlc.org/wp-content/uploads/2017/02/nlc-sml-preemption-report-2017-pages.pdf" TargetMode="External"/><Relationship Id="rId14" Type="http://schemas.openxmlformats.org/officeDocument/2006/relationships/hyperlink" Target="https://truthout.org/articles/challenging-bedrock-law-dillon-s-rule-in-detroit-and-beyon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10</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Price</dc:creator>
  <cp:lastModifiedBy>Ben Price</cp:lastModifiedBy>
  <cp:revision>2</cp:revision>
  <dcterms:created xsi:type="dcterms:W3CDTF">2021-10-22T13:29:00Z</dcterms:created>
  <dcterms:modified xsi:type="dcterms:W3CDTF">2021-10-22T13:29:00Z</dcterms:modified>
</cp:coreProperties>
</file>